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813418">
      <w:pPr>
        <w:wordWrap/>
        <w:autoSpaceDE w:val="0"/>
        <w:autoSpaceDN w:val="0"/>
        <w:spacing w:before="700" w:after="0" w:line="340" w:lineRule="atLeast"/>
        <w:ind w:left="1600" w:right="0"/>
        <w:jc w:val="both"/>
        <w:textAlignment w:val="auto"/>
        <w:rPr>
          <w:sz w:val="22"/>
        </w:rPr>
      </w:pPr>
      <w:r>
        <w:rPr>
          <w:rFonts w:ascii="宋体" w:hAnsi="宋体" w:eastAsia="宋体" w:cs="宋体"/>
          <w:b w:val="0"/>
          <w:i w:val="0"/>
          <w:color w:val="000000"/>
          <w:sz w:val="22"/>
        </w:rPr>
        <w:t>2005年中级会计职称考试《财务管理》真题及答案解析</w:t>
      </w:r>
    </w:p>
    <w:p w14:paraId="2ED80812">
      <w:pPr>
        <w:wordWrap/>
        <w:autoSpaceDE w:val="0"/>
        <w:autoSpaceDN w:val="0"/>
        <w:spacing w:before="260" w:after="0" w:line="260" w:lineRule="atLeast"/>
        <w:ind w:left="4200" w:right="0"/>
        <w:jc w:val="both"/>
        <w:textAlignment w:val="auto"/>
        <w:rPr>
          <w:sz w:val="16"/>
        </w:rPr>
      </w:pPr>
      <w:r>
        <w:rPr>
          <w:rFonts w:ascii="宋体" w:hAnsi="宋体" w:eastAsia="宋体" w:cs="宋体"/>
          <w:b w:val="0"/>
          <w:i w:val="0"/>
          <w:color w:val="000000"/>
          <w:sz w:val="16"/>
        </w:rPr>
        <w:t>一、单项选择题</w:t>
      </w:r>
    </w:p>
    <w:p w14:paraId="4FDB3D24">
      <w:pPr>
        <w:wordWrap/>
        <w:autoSpaceDE w:val="0"/>
        <w:autoSpaceDN w:val="0"/>
        <w:spacing w:before="20" w:after="0" w:line="450" w:lineRule="atLeast"/>
        <w:ind w:left="180" w:right="560"/>
        <w:jc w:val="both"/>
        <w:textAlignment w:val="auto"/>
        <w:rPr>
          <w:sz w:val="16"/>
        </w:rPr>
      </w:pPr>
      <w:r>
        <w:rPr>
          <w:rFonts w:ascii="宋体" w:hAnsi="宋体" w:eastAsia="宋体" w:cs="宋体"/>
          <w:b w:val="0"/>
          <w:i w:val="0"/>
          <w:color w:val="000000"/>
          <w:sz w:val="16"/>
        </w:rPr>
        <w:t>1.某种股票的期望收益率为10%，其标准离差为0.04，风险价值系数为30%，则该股票的风险收益率为( )。</w:t>
      </w:r>
    </w:p>
    <w:p w14:paraId="68173FDA">
      <w:pPr>
        <w:wordWrap/>
        <w:autoSpaceDE w:val="0"/>
        <w:autoSpaceDN w:val="0"/>
        <w:spacing w:before="220" w:after="0" w:line="260" w:lineRule="atLeast"/>
        <w:ind w:left="700" w:right="0"/>
        <w:jc w:val="both"/>
        <w:textAlignment w:val="auto"/>
        <w:rPr>
          <w:sz w:val="24"/>
        </w:rPr>
      </w:pPr>
      <w:r>
        <w:rPr>
          <w:rFonts w:ascii="宋体" w:hAnsi="宋体" w:eastAsia="宋体" w:cs="宋体"/>
          <w:b w:val="0"/>
          <w:i w:val="0"/>
          <w:color w:val="000000"/>
          <w:sz w:val="16"/>
        </w:rPr>
        <w:t>A. 40%</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6"/>
        </w:rPr>
        <w:t>B. 12%</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6"/>
        </w:rPr>
        <w:t>C. 6%</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6"/>
        </w:rPr>
        <w:t>D. 3%</w:t>
      </w:r>
    </w:p>
    <w:p w14:paraId="1DBE30F2">
      <w:pPr>
        <w:wordWrap/>
        <w:autoSpaceDE w:val="0"/>
        <w:autoSpaceDN w:val="0"/>
        <w:spacing w:before="200" w:after="0" w:line="260" w:lineRule="atLeast"/>
        <w:ind w:left="180" w:right="0"/>
        <w:jc w:val="both"/>
        <w:textAlignment w:val="auto"/>
        <w:rPr>
          <w:sz w:val="16"/>
        </w:rPr>
      </w:pPr>
      <w:r>
        <w:rPr>
          <w:rFonts w:ascii="宋体" w:hAnsi="宋体" w:eastAsia="宋体" w:cs="宋体"/>
          <w:b w:val="0"/>
          <w:i w:val="0"/>
          <w:color w:val="000000"/>
          <w:sz w:val="16"/>
        </w:rPr>
        <w:t>2.根据财务管理理论，按照资金来源渠道不同，可将筹资分为 (  )。</w:t>
      </w:r>
    </w:p>
    <w:p w14:paraId="5557B619">
      <w:pPr>
        <w:wordWrap/>
        <w:autoSpaceDE w:val="0"/>
        <w:autoSpaceDN w:val="0"/>
        <w:spacing w:before="200" w:after="0" w:line="240" w:lineRule="atLeast"/>
        <w:ind w:left="700" w:right="0"/>
        <w:jc w:val="both"/>
        <w:textAlignment w:val="auto"/>
        <w:rPr>
          <w:sz w:val="24"/>
        </w:rPr>
      </w:pPr>
      <w:r>
        <w:rPr>
          <w:rFonts w:ascii="宋体" w:hAnsi="宋体" w:eastAsia="宋体" w:cs="宋体"/>
          <w:b w:val="0"/>
          <w:i w:val="0"/>
          <w:color w:val="000000"/>
          <w:sz w:val="16"/>
        </w:rPr>
        <w:t>A. 直接筹资和间接筹资</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6"/>
        </w:rPr>
        <w:t>B. 内源筹资和外源筹资</w:t>
      </w:r>
    </w:p>
    <w:p w14:paraId="0FFBBB7A">
      <w:pPr>
        <w:wordWrap/>
        <w:autoSpaceDE w:val="0"/>
        <w:autoSpaceDN w:val="0"/>
        <w:spacing w:before="240" w:after="0" w:line="240" w:lineRule="atLeast"/>
        <w:ind w:left="700" w:right="0"/>
        <w:jc w:val="both"/>
        <w:textAlignment w:val="auto"/>
        <w:rPr>
          <w:sz w:val="24"/>
        </w:rPr>
      </w:pPr>
      <w:r>
        <w:rPr>
          <w:rFonts w:ascii="宋体" w:hAnsi="宋体" w:eastAsia="宋体" w:cs="宋体"/>
          <w:b w:val="0"/>
          <w:i w:val="0"/>
          <w:color w:val="000000"/>
          <w:sz w:val="16"/>
        </w:rPr>
        <w:t>C. 权益筹资和负债筹资</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6"/>
        </w:rPr>
        <w:t>D. 短期筹资和长期筹资</w:t>
      </w:r>
    </w:p>
    <w:p w14:paraId="00A5BE12">
      <w:pPr>
        <w:wordWrap/>
        <w:autoSpaceDE w:val="0"/>
        <w:autoSpaceDN w:val="0"/>
        <w:spacing w:before="60" w:after="0" w:line="440" w:lineRule="atLeast"/>
        <w:ind w:left="180" w:right="440"/>
        <w:jc w:val="both"/>
        <w:textAlignment w:val="auto"/>
        <w:rPr>
          <w:sz w:val="16"/>
        </w:rPr>
      </w:pPr>
      <w:r>
        <w:rPr>
          <w:rFonts w:ascii="宋体" w:hAnsi="宋体" w:eastAsia="宋体" w:cs="宋体"/>
          <w:b w:val="0"/>
          <w:i w:val="0"/>
          <w:color w:val="000000"/>
          <w:sz w:val="16"/>
        </w:rPr>
        <w:t>3.某企业按年率5.8%向银行借款1000万元，银行要求保留15%的补偿性余额，则这项借款的实际利率约为 (  )。</w:t>
      </w:r>
    </w:p>
    <w:p w14:paraId="2D68D7D6">
      <w:pPr>
        <w:wordWrap/>
        <w:autoSpaceDE w:val="0"/>
        <w:autoSpaceDN w:val="0"/>
        <w:spacing w:before="200" w:after="0" w:line="260" w:lineRule="atLeast"/>
        <w:ind w:left="700" w:right="0"/>
        <w:jc w:val="both"/>
        <w:textAlignment w:val="auto"/>
        <w:rPr>
          <w:sz w:val="24"/>
        </w:rPr>
      </w:pPr>
      <w:r>
        <w:rPr>
          <w:rFonts w:ascii="宋体" w:hAnsi="宋体" w:eastAsia="宋体" w:cs="宋体"/>
          <w:b w:val="0"/>
          <w:i w:val="0"/>
          <w:color w:val="000000"/>
          <w:sz w:val="16"/>
        </w:rPr>
        <w:t>A. 5.8%</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6"/>
        </w:rPr>
        <w:t>B. 6.4%</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6"/>
        </w:rPr>
        <w:t>C. 6.8%</w:t>
      </w:r>
      <w:r>
        <w:rPr>
          <w:rFonts w:ascii="宋体" w:hAnsi="宋体" w:eastAsia="宋体" w:cs="宋体"/>
          <w:sz w:val="24"/>
        </w:rPr>
        <w:t xml:space="preserve">           </w:t>
      </w:r>
      <w:r>
        <w:rPr>
          <w:rFonts w:ascii="宋体" w:hAnsi="宋体" w:eastAsia="宋体" w:cs="宋体"/>
          <w:b w:val="0"/>
          <w:i w:val="0"/>
          <w:color w:val="000000"/>
          <w:sz w:val="16"/>
        </w:rPr>
        <w:t>D. 7.3%</w:t>
      </w:r>
    </w:p>
    <w:p w14:paraId="62547260">
      <w:pPr>
        <w:wordWrap/>
        <w:autoSpaceDE w:val="0"/>
        <w:autoSpaceDN w:val="0"/>
        <w:spacing w:before="220" w:after="0" w:line="260" w:lineRule="atLeast"/>
        <w:ind w:left="180" w:right="0"/>
        <w:jc w:val="both"/>
        <w:textAlignment w:val="auto"/>
        <w:rPr>
          <w:sz w:val="16"/>
        </w:rPr>
      </w:pPr>
      <w:r>
        <w:rPr>
          <w:rFonts w:ascii="宋体" w:hAnsi="宋体" w:eastAsia="宋体" w:cs="宋体"/>
          <w:b w:val="0"/>
          <w:i w:val="0"/>
          <w:color w:val="000000"/>
          <w:sz w:val="16"/>
        </w:rPr>
        <w:t>4.在计算优先股成本时，下列各因素中，不需要考虑的是(  )。</w:t>
      </w:r>
    </w:p>
    <w:p w14:paraId="31678021">
      <w:pPr>
        <w:wordWrap/>
        <w:autoSpaceDE w:val="0"/>
        <w:autoSpaceDN w:val="0"/>
        <w:spacing w:before="180" w:after="0" w:line="260" w:lineRule="atLeast"/>
        <w:ind w:left="700" w:right="0"/>
        <w:jc w:val="both"/>
        <w:textAlignment w:val="auto"/>
        <w:rPr>
          <w:sz w:val="24"/>
        </w:rPr>
      </w:pPr>
      <w:r>
        <w:rPr>
          <w:rFonts w:ascii="宋体" w:hAnsi="宋体" w:eastAsia="宋体" w:cs="宋体"/>
          <w:b w:val="0"/>
          <w:i w:val="0"/>
          <w:color w:val="000000"/>
          <w:sz w:val="16"/>
        </w:rPr>
        <w:t>A. 发行优先股总额</w:t>
      </w:r>
      <w:r>
        <w:rPr>
          <w:rFonts w:ascii="宋体" w:hAnsi="宋体" w:eastAsia="宋体" w:cs="宋体"/>
          <w:sz w:val="24"/>
        </w:rPr>
        <w:t xml:space="preserve">                    </w:t>
      </w:r>
      <w:r>
        <w:rPr>
          <w:rFonts w:ascii="宋体" w:hAnsi="宋体" w:eastAsia="宋体" w:cs="宋体"/>
          <w:b w:val="0"/>
          <w:i w:val="0"/>
          <w:color w:val="000000"/>
          <w:sz w:val="16"/>
        </w:rPr>
        <w:t>B. 优先股筹资费率</w:t>
      </w:r>
    </w:p>
    <w:p w14:paraId="2FD59ED5">
      <w:pPr>
        <w:wordWrap/>
        <w:autoSpaceDE w:val="0"/>
        <w:autoSpaceDN w:val="0"/>
        <w:spacing w:before="240" w:after="0" w:line="240" w:lineRule="atLeast"/>
        <w:ind w:left="700" w:right="0"/>
        <w:jc w:val="both"/>
        <w:textAlignment w:val="auto"/>
        <w:rPr>
          <w:sz w:val="24"/>
        </w:rPr>
      </w:pPr>
      <w:r>
        <w:rPr>
          <w:rFonts w:ascii="宋体" w:hAnsi="宋体" w:eastAsia="宋体" w:cs="宋体"/>
          <w:b w:val="0"/>
          <w:i w:val="0"/>
          <w:color w:val="000000"/>
          <w:sz w:val="16"/>
        </w:rPr>
        <w:t>C. 优先股的优先权</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6"/>
        </w:rPr>
        <w:t>D. 优先股每年的股利</w:t>
      </w:r>
    </w:p>
    <w:p w14:paraId="2BEA589E">
      <w:pPr>
        <w:wordWrap/>
        <w:autoSpaceDE w:val="0"/>
        <w:autoSpaceDN w:val="0"/>
        <w:spacing w:before="220" w:after="0" w:line="260" w:lineRule="atLeast"/>
        <w:ind w:left="180" w:right="0"/>
        <w:jc w:val="both"/>
        <w:textAlignment w:val="auto"/>
        <w:rPr>
          <w:sz w:val="16"/>
        </w:rPr>
      </w:pPr>
      <w:r>
        <w:rPr>
          <w:rFonts w:ascii="宋体" w:hAnsi="宋体" w:eastAsia="宋体" w:cs="宋体"/>
          <w:b w:val="0"/>
          <w:i w:val="0"/>
          <w:color w:val="000000"/>
          <w:sz w:val="16"/>
        </w:rPr>
        <w:t>5.下列各项中，运用普通股每股利润(每股收益) 无差别点确定最佳资金结构时，需计算的指标是(  )。</w:t>
      </w:r>
    </w:p>
    <w:p w14:paraId="01B80956">
      <w:pPr>
        <w:wordWrap/>
        <w:autoSpaceDE w:val="0"/>
        <w:autoSpaceDN w:val="0"/>
        <w:spacing w:before="200" w:after="0" w:line="260" w:lineRule="atLeast"/>
        <w:ind w:left="700" w:right="0"/>
        <w:jc w:val="both"/>
        <w:textAlignment w:val="auto"/>
        <w:rPr>
          <w:sz w:val="24"/>
        </w:rPr>
      </w:pPr>
      <w:r>
        <w:rPr>
          <w:rFonts w:ascii="宋体" w:hAnsi="宋体" w:eastAsia="宋体" w:cs="宋体"/>
          <w:b w:val="0"/>
          <w:i w:val="0"/>
          <w:color w:val="000000"/>
          <w:sz w:val="16"/>
        </w:rPr>
        <w:t>A. 息税前利润</w:t>
      </w:r>
      <w:r>
        <w:rPr>
          <w:rFonts w:ascii="宋体" w:hAnsi="宋体" w:eastAsia="宋体" w:cs="宋体"/>
          <w:sz w:val="24"/>
        </w:rPr>
        <w:t xml:space="preserve">       </w:t>
      </w:r>
      <w:r>
        <w:rPr>
          <w:rFonts w:ascii="宋体" w:hAnsi="宋体" w:eastAsia="宋体" w:cs="宋体"/>
          <w:b w:val="0"/>
          <w:i w:val="0"/>
          <w:color w:val="000000"/>
          <w:sz w:val="16"/>
        </w:rPr>
        <w:t>B. 营业利润</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6"/>
        </w:rPr>
        <w:t>C. 净利润</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6"/>
        </w:rPr>
        <w:t>D. 利润总额</w:t>
      </w:r>
    </w:p>
    <w:p w14:paraId="57F8CAEB">
      <w:pPr>
        <w:wordWrap/>
        <w:autoSpaceDE w:val="0"/>
        <w:autoSpaceDN w:val="0"/>
        <w:spacing w:before="200" w:after="0" w:line="260" w:lineRule="atLeast"/>
        <w:ind w:left="180" w:right="0"/>
        <w:jc w:val="both"/>
        <w:textAlignment w:val="auto"/>
        <w:rPr>
          <w:sz w:val="16"/>
        </w:rPr>
      </w:pPr>
      <w:r>
        <w:rPr>
          <w:rFonts w:ascii="宋体" w:hAnsi="宋体" w:eastAsia="宋体" w:cs="宋体"/>
          <w:b w:val="0"/>
          <w:i w:val="0"/>
          <w:color w:val="000000"/>
          <w:sz w:val="16"/>
        </w:rPr>
        <w:t>6.下列资金结构调整的方法中，属于减量调整的是 ( )。</w:t>
      </w:r>
    </w:p>
    <w:p w14:paraId="5A35D3F3">
      <w:pPr>
        <w:wordWrap/>
        <w:autoSpaceDE w:val="0"/>
        <w:autoSpaceDN w:val="0"/>
        <w:spacing w:before="220" w:after="0" w:line="260" w:lineRule="atLeast"/>
        <w:ind w:left="700" w:right="0"/>
        <w:jc w:val="both"/>
        <w:textAlignment w:val="auto"/>
        <w:rPr>
          <w:sz w:val="24"/>
        </w:rPr>
      </w:pPr>
      <w:r>
        <w:rPr>
          <w:rFonts w:ascii="宋体" w:hAnsi="宋体" w:eastAsia="宋体" w:cs="宋体"/>
          <w:b w:val="0"/>
          <w:i w:val="0"/>
          <w:color w:val="000000"/>
          <w:sz w:val="16"/>
        </w:rPr>
        <w:t>A. 债转股</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6"/>
        </w:rPr>
        <w:t>B. 发行新债</w:t>
      </w:r>
    </w:p>
    <w:p w14:paraId="6016EF91">
      <w:pPr>
        <w:wordWrap/>
        <w:autoSpaceDE w:val="0"/>
        <w:autoSpaceDN w:val="0"/>
        <w:spacing w:before="220" w:after="0" w:line="260" w:lineRule="atLeast"/>
        <w:ind w:left="700" w:right="0"/>
        <w:jc w:val="both"/>
        <w:textAlignment w:val="auto"/>
        <w:rPr>
          <w:sz w:val="24"/>
        </w:rPr>
      </w:pPr>
      <w:r>
        <w:rPr>
          <w:rFonts w:ascii="宋体" w:hAnsi="宋体" w:eastAsia="宋体" w:cs="宋体"/>
          <w:b w:val="0"/>
          <w:i w:val="0"/>
          <w:color w:val="000000"/>
          <w:sz w:val="16"/>
        </w:rPr>
        <w:t>C. 提前归还借款</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6"/>
        </w:rPr>
        <w:t>D. 增发新股偿还债务</w:t>
      </w:r>
    </w:p>
    <w:p w14:paraId="64C49ABF">
      <w:pPr>
        <w:wordWrap/>
        <w:autoSpaceDE w:val="0"/>
        <w:autoSpaceDN w:val="0"/>
        <w:spacing w:before="220" w:after="0" w:line="260" w:lineRule="atLeast"/>
        <w:ind w:left="180" w:right="0"/>
        <w:jc w:val="both"/>
        <w:textAlignment w:val="auto"/>
        <w:rPr>
          <w:sz w:val="16"/>
        </w:rPr>
      </w:pPr>
      <w:r>
        <w:rPr>
          <w:rFonts w:ascii="宋体" w:hAnsi="宋体" w:eastAsia="宋体" w:cs="宋体"/>
          <w:b w:val="0"/>
          <w:i w:val="0"/>
          <w:color w:val="000000"/>
          <w:sz w:val="16"/>
        </w:rPr>
        <w:t>7.将企业投资区分为固定资产投资、流动资金投资、期货与期权投资等类型所依据的分类标志是(  )。</w:t>
      </w:r>
    </w:p>
    <w:p w14:paraId="23DE280F">
      <w:pPr>
        <w:wordWrap/>
        <w:autoSpaceDE w:val="0"/>
        <w:autoSpaceDN w:val="0"/>
        <w:spacing w:before="180" w:after="0" w:line="260" w:lineRule="atLeast"/>
        <w:ind w:left="700" w:right="0"/>
        <w:jc w:val="both"/>
        <w:textAlignment w:val="auto"/>
        <w:rPr>
          <w:sz w:val="24"/>
        </w:rPr>
      </w:pPr>
      <w:r>
        <w:rPr>
          <w:rFonts w:ascii="宋体" w:hAnsi="宋体" w:eastAsia="宋体" w:cs="宋体"/>
          <w:b w:val="0"/>
          <w:i w:val="0"/>
          <w:color w:val="000000"/>
          <w:sz w:val="16"/>
        </w:rPr>
        <w:t>A. 投入行为的介入程度</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6"/>
        </w:rPr>
        <w:t>B. 投入的领域</w:t>
      </w:r>
    </w:p>
    <w:p w14:paraId="5E013861">
      <w:pPr>
        <w:wordWrap/>
        <w:autoSpaceDE w:val="0"/>
        <w:autoSpaceDN w:val="0"/>
        <w:spacing w:before="220" w:after="0" w:line="240" w:lineRule="atLeast"/>
        <w:ind w:left="700" w:right="0"/>
        <w:jc w:val="both"/>
        <w:textAlignment w:val="auto"/>
        <w:rPr>
          <w:sz w:val="24"/>
        </w:rPr>
      </w:pPr>
      <w:r>
        <w:rPr>
          <w:rFonts w:ascii="宋体" w:hAnsi="宋体" w:eastAsia="宋体" w:cs="宋体"/>
          <w:b w:val="0"/>
          <w:i w:val="0"/>
          <w:color w:val="000000"/>
          <w:sz w:val="16"/>
        </w:rPr>
        <w:t>C. 投资的方向</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6"/>
        </w:rPr>
        <w:t>D. 投资的内容</w:t>
      </w:r>
    </w:p>
    <w:p w14:paraId="1261CCD7">
      <w:pPr>
        <w:wordWrap/>
        <w:autoSpaceDE w:val="0"/>
        <w:autoSpaceDN w:val="0"/>
        <w:spacing w:before="220" w:after="0" w:line="260" w:lineRule="atLeast"/>
        <w:ind w:left="180" w:right="0"/>
        <w:jc w:val="both"/>
        <w:textAlignment w:val="auto"/>
        <w:rPr>
          <w:sz w:val="16"/>
        </w:rPr>
      </w:pPr>
      <w:r>
        <w:rPr>
          <w:rFonts w:ascii="宋体" w:hAnsi="宋体" w:eastAsia="宋体" w:cs="宋体"/>
          <w:b w:val="0"/>
          <w:i w:val="0"/>
          <w:color w:val="000000"/>
          <w:sz w:val="16"/>
        </w:rPr>
        <w:t>8.在投资收益不确定的情况下，按估计的各种可能收益水平及其发生概率计算的加权平均数是(  )。</w:t>
      </w:r>
    </w:p>
    <w:p w14:paraId="79EABCC9">
      <w:pPr>
        <w:wordWrap/>
        <w:autoSpaceDE w:val="0"/>
        <w:autoSpaceDN w:val="0"/>
        <w:spacing w:before="180" w:after="0" w:line="280" w:lineRule="atLeast"/>
        <w:ind w:left="700" w:right="0"/>
        <w:jc w:val="both"/>
        <w:textAlignment w:val="auto"/>
        <w:rPr>
          <w:sz w:val="24"/>
        </w:rPr>
      </w:pPr>
      <w:r>
        <w:rPr>
          <w:rFonts w:ascii="宋体" w:hAnsi="宋体" w:eastAsia="宋体" w:cs="宋体"/>
          <w:b w:val="0"/>
          <w:i w:val="0"/>
          <w:color w:val="000000"/>
          <w:sz w:val="16"/>
        </w:rPr>
        <w:t>A. 实际投资收益(率)</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6"/>
        </w:rPr>
        <w:t>B. 期望投资收益(率)</w:t>
      </w:r>
    </w:p>
    <w:p w14:paraId="6226D37A">
      <w:pPr>
        <w:wordWrap/>
        <w:autoSpaceDE w:val="0"/>
        <w:autoSpaceDN w:val="0"/>
        <w:spacing w:before="200" w:after="0" w:line="260" w:lineRule="atLeast"/>
        <w:ind w:left="700" w:right="0"/>
        <w:jc w:val="both"/>
        <w:textAlignment w:val="auto"/>
        <w:rPr>
          <w:sz w:val="24"/>
        </w:rPr>
      </w:pPr>
      <w:r>
        <w:rPr>
          <w:rFonts w:ascii="宋体" w:hAnsi="宋体" w:eastAsia="宋体" w:cs="宋体"/>
          <w:b w:val="0"/>
          <w:i w:val="0"/>
          <w:color w:val="000000"/>
          <w:sz w:val="16"/>
        </w:rPr>
        <w:t>C. 必要投资收益(率)</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6"/>
        </w:rPr>
        <w:t>D. 无风险收益(率)</w:t>
      </w:r>
    </w:p>
    <w:p w14:paraId="1B1F2B5D">
      <w:pPr>
        <w:wordWrap/>
        <w:autoSpaceDE w:val="0"/>
        <w:autoSpaceDN w:val="0"/>
        <w:spacing w:before="220" w:after="0" w:line="260" w:lineRule="atLeast"/>
        <w:ind w:left="180" w:right="0"/>
        <w:jc w:val="both"/>
        <w:textAlignment w:val="auto"/>
        <w:rPr>
          <w:sz w:val="16"/>
        </w:rPr>
      </w:pPr>
      <w:r>
        <w:rPr>
          <w:rFonts w:ascii="宋体" w:hAnsi="宋体" w:eastAsia="宋体" w:cs="宋体"/>
          <w:b w:val="0"/>
          <w:i w:val="0"/>
          <w:color w:val="000000"/>
          <w:sz w:val="16"/>
        </w:rPr>
        <w:t>9.在计算由两项资产组成的投资组合收益率的方差时，不需要考虑的因素是 (  )。</w:t>
      </w:r>
    </w:p>
    <w:p w14:paraId="0857DAE9">
      <w:pPr>
        <w:wordWrap/>
        <w:autoSpaceDE w:val="0"/>
        <w:autoSpaceDN w:val="0"/>
        <w:spacing w:before="180" w:after="0" w:line="260" w:lineRule="atLeast"/>
        <w:ind w:left="700" w:right="0"/>
        <w:jc w:val="both"/>
        <w:textAlignment w:val="auto"/>
        <w:rPr>
          <w:sz w:val="24"/>
        </w:rPr>
      </w:pPr>
      <w:r>
        <w:rPr>
          <w:rFonts w:ascii="宋体" w:hAnsi="宋体" w:eastAsia="宋体" w:cs="宋体"/>
          <w:b w:val="0"/>
          <w:i w:val="0"/>
          <w:color w:val="000000"/>
          <w:sz w:val="16"/>
        </w:rPr>
        <w:t>A. 单项资产在投资组合中所占比重</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6"/>
        </w:rPr>
        <w:t>B. 单项资产的β系数</w:t>
      </w:r>
    </w:p>
    <w:p w14:paraId="1399A586">
      <w:pPr>
        <w:wordWrap/>
        <w:autoSpaceDE w:val="0"/>
        <w:autoSpaceDN w:val="0"/>
        <w:spacing w:before="220" w:after="0" w:line="260" w:lineRule="atLeast"/>
        <w:ind w:left="700" w:right="0"/>
        <w:jc w:val="both"/>
        <w:textAlignment w:val="auto"/>
        <w:rPr>
          <w:sz w:val="24"/>
        </w:rPr>
      </w:pPr>
      <w:r>
        <w:rPr>
          <w:rFonts w:ascii="宋体" w:hAnsi="宋体" w:eastAsia="宋体" w:cs="宋体"/>
          <w:b w:val="0"/>
          <w:i w:val="0"/>
          <w:color w:val="000000"/>
          <w:sz w:val="16"/>
        </w:rPr>
        <w:t>C. 单项资产的方差</w:t>
      </w:r>
      <w:r>
        <w:rPr>
          <w:rFonts w:ascii="宋体" w:hAnsi="宋体" w:eastAsia="宋体" w:cs="宋体"/>
          <w:sz w:val="24"/>
        </w:rPr>
        <w:t xml:space="preserve">                    </w:t>
      </w:r>
      <w:r>
        <w:rPr>
          <w:rFonts w:ascii="宋体" w:hAnsi="宋体" w:eastAsia="宋体" w:cs="宋体"/>
          <w:b w:val="0"/>
          <w:i w:val="0"/>
          <w:color w:val="000000"/>
          <w:sz w:val="16"/>
        </w:rPr>
        <w:t>D. 两种资产的协方差</w:t>
      </w:r>
    </w:p>
    <w:p w14:paraId="4EABDDC0">
      <w:pPr>
        <w:wordWrap/>
        <w:autoSpaceDE w:val="0"/>
        <w:autoSpaceDN w:val="0"/>
        <w:spacing w:before="220" w:after="0" w:line="260" w:lineRule="atLeast"/>
        <w:ind w:left="180" w:right="0"/>
        <w:jc w:val="both"/>
        <w:textAlignment w:val="auto"/>
        <w:rPr>
          <w:sz w:val="16"/>
        </w:rPr>
      </w:pPr>
      <w:r>
        <w:rPr>
          <w:rFonts w:ascii="宋体" w:hAnsi="宋体" w:eastAsia="宋体" w:cs="宋体"/>
          <w:b w:val="0"/>
          <w:i w:val="0"/>
          <w:color w:val="000000"/>
          <w:sz w:val="16"/>
        </w:rPr>
        <w:t>10.下列各项中，不属于投资项目现金流出量内容的是 (  )。</w:t>
      </w:r>
    </w:p>
    <w:p w14:paraId="413AF584">
      <w:pPr>
        <w:wordWrap/>
        <w:autoSpaceDE w:val="0"/>
        <w:autoSpaceDN w:val="0"/>
        <w:spacing w:before="520" w:after="0" w:line="240" w:lineRule="atLeast"/>
        <w:ind w:left="8180" w:right="0"/>
        <w:jc w:val="both"/>
        <w:textAlignment w:val="auto"/>
        <w:rPr>
          <w:sz w:val="16"/>
        </w:rPr>
      </w:pPr>
      <w:r>
        <w:rPr>
          <w:rFonts w:ascii="宋体" w:hAnsi="宋体" w:eastAsia="宋体" w:cs="宋体"/>
          <w:b w:val="0"/>
          <w:i w:val="0"/>
          <w:color w:val="000000"/>
          <w:sz w:val="16"/>
        </w:rPr>
        <w:t>fanshifu.tmall.com</w:t>
      </w:r>
      <w:r>
        <w:br w:type="page"/>
      </w:r>
    </w:p>
    <w:p w14:paraId="6E6CDF67">
      <w:pPr>
        <w:numPr>
          <w:ilvl w:val="0"/>
          <w:numId w:val="1"/>
        </w:numPr>
        <w:wordWrap/>
        <w:autoSpaceDE w:val="0"/>
        <w:autoSpaceDN w:val="0"/>
        <w:spacing w:before="660" w:after="0" w:line="280" w:lineRule="atLeast"/>
        <w:ind w:left="700" w:right="0"/>
        <w:jc w:val="both"/>
        <w:textAlignment w:val="auto"/>
        <w:rPr>
          <w:rFonts w:ascii="宋体" w:hAnsi="宋体" w:eastAsia="宋体" w:cs="宋体"/>
          <w:b w:val="0"/>
          <w:i w:val="0"/>
          <w:color w:val="000000"/>
          <w:sz w:val="17"/>
        </w:rPr>
      </w:pPr>
      <w:r>
        <w:rPr>
          <w:rFonts w:ascii="宋体" w:hAnsi="宋体" w:eastAsia="宋体" w:cs="宋体"/>
          <w:b w:val="0"/>
          <w:i w:val="0"/>
          <w:color w:val="000000"/>
          <w:sz w:val="17"/>
        </w:rPr>
        <w:t>固定资产投资</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7"/>
        </w:rPr>
        <w:t>B. 折旧与摊销</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7"/>
        </w:rPr>
        <w:t>C. 无形资产投资</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7"/>
        </w:rPr>
        <w:t>D. 新增经营成本</w:t>
      </w:r>
    </w:p>
    <w:p w14:paraId="2BD6B3A6">
      <w:pPr>
        <w:numPr>
          <w:ilvl w:val="0"/>
          <w:numId w:val="1"/>
        </w:numPr>
        <w:wordWrap/>
        <w:autoSpaceDE w:val="0"/>
        <w:autoSpaceDN w:val="0"/>
        <w:spacing w:before="660" w:after="0" w:line="280" w:lineRule="atLeast"/>
        <w:ind w:left="700" w:right="0"/>
        <w:jc w:val="both"/>
        <w:textAlignment w:val="auto"/>
        <w:rPr>
          <w:rFonts w:ascii="宋体" w:hAnsi="宋体" w:eastAsia="宋体" w:cs="宋体"/>
          <w:b w:val="0"/>
          <w:i w:val="0"/>
          <w:color w:val="000000"/>
          <w:sz w:val="17"/>
        </w:rPr>
      </w:pPr>
      <w:bookmarkStart w:id="0" w:name="_GoBack"/>
      <w:r>
        <w:rPr>
          <w:rFonts w:ascii="宋体" w:hAnsi="宋体" w:eastAsia="宋体" w:cs="宋体"/>
          <w:b w:val="0"/>
          <w:i w:val="0"/>
          <w:color w:val="000000"/>
          <w:sz w:val="17"/>
        </w:rPr>
        <w:drawing>
          <wp:inline distT="0" distB="0" distL="114300" distR="114300">
            <wp:extent cx="6522085" cy="2735580"/>
            <wp:effectExtent l="0" t="0" r="12065" b="7620"/>
            <wp:docPr id="1" name="图片 1" descr="微信图片_202412011637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41201163728"/>
                    <pic:cNvPicPr>
                      <a:picLocks noChangeAspect="1"/>
                    </pic:cNvPicPr>
                  </pic:nvPicPr>
                  <pic:blipFill>
                    <a:blip r:embed="rId4"/>
                    <a:stretch>
                      <a:fillRect/>
                    </a:stretch>
                  </pic:blipFill>
                  <pic:spPr>
                    <a:xfrm>
                      <a:off x="0" y="0"/>
                      <a:ext cx="6522085" cy="2735580"/>
                    </a:xfrm>
                    <a:prstGeom prst="rect">
                      <a:avLst/>
                    </a:prstGeom>
                  </pic:spPr>
                </pic:pic>
              </a:graphicData>
            </a:graphic>
          </wp:inline>
        </w:drawing>
      </w:r>
      <w:bookmarkEnd w:id="0"/>
    </w:p>
    <w:p w14:paraId="321726C5">
      <w:pPr>
        <w:wordWrap/>
        <w:autoSpaceDE w:val="0"/>
        <w:autoSpaceDN w:val="0"/>
        <w:spacing w:before="60" w:after="0" w:line="420" w:lineRule="atLeast"/>
        <w:ind w:left="180" w:right="480"/>
        <w:jc w:val="both"/>
        <w:textAlignment w:val="auto"/>
        <w:rPr>
          <w:sz w:val="17"/>
        </w:rPr>
      </w:pPr>
      <w:r>
        <w:rPr>
          <w:rFonts w:ascii="宋体" w:hAnsi="宋体" w:eastAsia="宋体" w:cs="宋体"/>
          <w:b w:val="0"/>
          <w:i w:val="0"/>
          <w:color w:val="000000"/>
          <w:sz w:val="17"/>
        </w:rPr>
        <w:t>11.如果某投资项目的相关评价指标满足以下关系:NPV&gt;0, NPVR&gt;0, PI&gt;1, IRR&gt; ic, PP&gt;n/2, 则可以得出的结论是(  )。</w:t>
      </w:r>
    </w:p>
    <w:p w14:paraId="17077068">
      <w:pPr>
        <w:wordWrap/>
        <w:autoSpaceDE w:val="0"/>
        <w:autoSpaceDN w:val="0"/>
        <w:spacing w:before="220" w:after="0" w:line="260" w:lineRule="atLeast"/>
        <w:ind w:left="700" w:right="0"/>
        <w:jc w:val="both"/>
        <w:textAlignment w:val="auto"/>
        <w:rPr>
          <w:sz w:val="24"/>
        </w:rPr>
      </w:pPr>
      <w:r>
        <w:rPr>
          <w:rFonts w:ascii="宋体" w:hAnsi="宋体" w:eastAsia="宋体" w:cs="宋体"/>
          <w:b w:val="0"/>
          <w:i w:val="0"/>
          <w:color w:val="000000"/>
          <w:sz w:val="17"/>
        </w:rPr>
        <w:t>A. 该项目基本具备财务可行性</w:t>
      </w:r>
      <w:r>
        <w:rPr>
          <w:rFonts w:ascii="宋体" w:hAnsi="宋体" w:eastAsia="宋体" w:cs="宋体"/>
          <w:sz w:val="24"/>
        </w:rPr>
        <w:t xml:space="preserve">            </w:t>
      </w:r>
      <w:r>
        <w:rPr>
          <w:rFonts w:ascii="宋体" w:hAnsi="宋体" w:eastAsia="宋体" w:cs="宋体"/>
          <w:b w:val="0"/>
          <w:i w:val="0"/>
          <w:color w:val="000000"/>
          <w:sz w:val="17"/>
        </w:rPr>
        <w:t>B. 该项目完全具备财务可行性</w:t>
      </w:r>
    </w:p>
    <w:p w14:paraId="42521F14">
      <w:pPr>
        <w:wordWrap/>
        <w:autoSpaceDE w:val="0"/>
        <w:autoSpaceDN w:val="0"/>
        <w:spacing w:before="200" w:after="0" w:line="280" w:lineRule="atLeast"/>
        <w:ind w:left="700" w:right="0"/>
        <w:jc w:val="both"/>
        <w:textAlignment w:val="auto"/>
        <w:rPr>
          <w:sz w:val="24"/>
        </w:rPr>
      </w:pPr>
      <w:r>
        <w:rPr>
          <w:rFonts w:ascii="宋体" w:hAnsi="宋体" w:eastAsia="宋体" w:cs="宋体"/>
          <w:b w:val="0"/>
          <w:i w:val="0"/>
          <w:color w:val="000000"/>
          <w:sz w:val="17"/>
        </w:rPr>
        <w:t>C. 该项目基本不具备财务可行性</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7"/>
        </w:rPr>
        <w:t>D. 该项目完全不具备财务可行性</w:t>
      </w:r>
    </w:p>
    <w:p w14:paraId="615D457A">
      <w:pPr>
        <w:wordWrap/>
        <w:autoSpaceDE w:val="0"/>
        <w:autoSpaceDN w:val="0"/>
        <w:spacing w:before="200" w:after="0" w:line="260" w:lineRule="atLeast"/>
        <w:ind w:left="180" w:right="0"/>
        <w:jc w:val="both"/>
        <w:textAlignment w:val="auto"/>
        <w:rPr>
          <w:sz w:val="17"/>
        </w:rPr>
      </w:pPr>
      <w:r>
        <w:rPr>
          <w:rFonts w:ascii="宋体" w:hAnsi="宋体" w:eastAsia="宋体" w:cs="宋体"/>
          <w:b w:val="0"/>
          <w:i w:val="0"/>
          <w:color w:val="000000"/>
          <w:sz w:val="17"/>
        </w:rPr>
        <w:t>12.下列各项中，属于证券投资系统性风险(市场风险) 的是(  )。</w:t>
      </w:r>
    </w:p>
    <w:p w14:paraId="3656862E">
      <w:pPr>
        <w:wordWrap/>
        <w:autoSpaceDE w:val="0"/>
        <w:autoSpaceDN w:val="0"/>
        <w:spacing w:before="200" w:after="0" w:line="260" w:lineRule="atLeast"/>
        <w:ind w:left="700" w:right="0"/>
        <w:jc w:val="both"/>
        <w:textAlignment w:val="auto"/>
        <w:rPr>
          <w:sz w:val="24"/>
        </w:rPr>
      </w:pPr>
      <w:r>
        <w:rPr>
          <w:rFonts w:ascii="宋体" w:hAnsi="宋体" w:eastAsia="宋体" w:cs="宋体"/>
          <w:b w:val="0"/>
          <w:i w:val="0"/>
          <w:color w:val="000000"/>
          <w:sz w:val="17"/>
        </w:rPr>
        <w:t>A. 利息率风险</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7"/>
        </w:rPr>
        <w:t>B. 违约风险</w:t>
      </w:r>
      <w:r>
        <w:rPr>
          <w:rFonts w:ascii="宋体" w:hAnsi="宋体" w:eastAsia="宋体" w:cs="宋体"/>
          <w:sz w:val="24"/>
        </w:rPr>
        <w:t xml:space="preserve">        </w:t>
      </w:r>
      <w:r>
        <w:rPr>
          <w:rFonts w:ascii="宋体" w:hAnsi="宋体" w:eastAsia="宋体" w:cs="宋体"/>
          <w:b w:val="0"/>
          <w:i w:val="0"/>
          <w:color w:val="000000"/>
          <w:sz w:val="17"/>
        </w:rPr>
        <w:t>C. 破产风险</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7"/>
        </w:rPr>
        <w:t>D. 流动性风险</w:t>
      </w:r>
    </w:p>
    <w:p w14:paraId="4C9C42AF">
      <w:pPr>
        <w:wordWrap/>
        <w:autoSpaceDE w:val="0"/>
        <w:autoSpaceDN w:val="0"/>
        <w:spacing w:before="220" w:after="0" w:line="260" w:lineRule="atLeast"/>
        <w:ind w:left="180" w:right="0"/>
        <w:jc w:val="both"/>
        <w:textAlignment w:val="auto"/>
        <w:rPr>
          <w:sz w:val="17"/>
        </w:rPr>
      </w:pPr>
      <w:r>
        <w:rPr>
          <w:rFonts w:ascii="宋体" w:hAnsi="宋体" w:eastAsia="宋体" w:cs="宋体"/>
          <w:b w:val="0"/>
          <w:i w:val="0"/>
          <w:color w:val="000000"/>
          <w:sz w:val="17"/>
        </w:rPr>
        <w:t>13.下列各项中，不能衡量证券投资收益水平的是 (  )。</w:t>
      </w:r>
    </w:p>
    <w:p w14:paraId="22E6CB4C">
      <w:pPr>
        <w:wordWrap/>
        <w:autoSpaceDE w:val="0"/>
        <w:autoSpaceDN w:val="0"/>
        <w:spacing w:before="200" w:after="0" w:line="280" w:lineRule="atLeast"/>
        <w:ind w:left="700" w:right="0"/>
        <w:jc w:val="both"/>
        <w:textAlignment w:val="auto"/>
        <w:rPr>
          <w:sz w:val="24"/>
        </w:rPr>
      </w:pPr>
      <w:r>
        <w:rPr>
          <w:rFonts w:ascii="宋体" w:hAnsi="宋体" w:eastAsia="宋体" w:cs="宋体"/>
          <w:b w:val="0"/>
          <w:i w:val="0"/>
          <w:color w:val="000000"/>
          <w:sz w:val="17"/>
        </w:rPr>
        <w:t>A. 持有期收益率</w:t>
      </w:r>
      <w:r>
        <w:rPr>
          <w:rFonts w:ascii="宋体" w:hAnsi="宋体" w:eastAsia="宋体" w:cs="宋体"/>
          <w:sz w:val="24"/>
        </w:rPr>
        <w:t xml:space="preserve">     </w:t>
      </w:r>
      <w:r>
        <w:rPr>
          <w:rFonts w:ascii="宋体" w:hAnsi="宋体" w:eastAsia="宋体" w:cs="宋体"/>
          <w:b w:val="0"/>
          <w:i w:val="0"/>
          <w:color w:val="000000"/>
          <w:sz w:val="17"/>
        </w:rPr>
        <w:t>B. 到期收益率</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7"/>
        </w:rPr>
        <w:t>C. 息票收益率</w:t>
      </w:r>
      <w:r>
        <w:rPr>
          <w:rFonts w:ascii="宋体" w:hAnsi="宋体" w:eastAsia="宋体" w:cs="宋体"/>
          <w:sz w:val="24"/>
        </w:rPr>
        <w:t xml:space="preserve">      </w:t>
      </w:r>
      <w:r>
        <w:rPr>
          <w:rFonts w:ascii="宋体" w:hAnsi="宋体" w:eastAsia="宋体" w:cs="宋体"/>
          <w:b w:val="0"/>
          <w:i w:val="0"/>
          <w:color w:val="000000"/>
          <w:sz w:val="17"/>
        </w:rPr>
        <w:t>D. 标准离差率</w:t>
      </w:r>
    </w:p>
    <w:p w14:paraId="2A4204B0">
      <w:pPr>
        <w:wordWrap/>
        <w:autoSpaceDE w:val="0"/>
        <w:autoSpaceDN w:val="0"/>
        <w:spacing w:before="180" w:after="0" w:line="260" w:lineRule="atLeast"/>
        <w:ind w:left="180" w:right="0"/>
        <w:jc w:val="both"/>
        <w:textAlignment w:val="auto"/>
        <w:rPr>
          <w:sz w:val="17"/>
        </w:rPr>
      </w:pPr>
      <w:r>
        <w:rPr>
          <w:rFonts w:ascii="宋体" w:hAnsi="宋体" w:eastAsia="宋体" w:cs="宋体"/>
          <w:b w:val="0"/>
          <w:i w:val="0"/>
          <w:color w:val="000000"/>
          <w:sz w:val="17"/>
        </w:rPr>
        <w:t>14.下列各项中，属于现金支出管理方法的是 (  )。</w:t>
      </w:r>
    </w:p>
    <w:p w14:paraId="05AC8821">
      <w:pPr>
        <w:wordWrap/>
        <w:autoSpaceDE w:val="0"/>
        <w:autoSpaceDN w:val="0"/>
        <w:spacing w:before="200" w:after="0" w:line="280" w:lineRule="atLeast"/>
        <w:ind w:left="700" w:right="0"/>
        <w:jc w:val="both"/>
        <w:textAlignment w:val="auto"/>
        <w:rPr>
          <w:sz w:val="24"/>
        </w:rPr>
      </w:pPr>
      <w:r>
        <w:rPr>
          <w:rFonts w:ascii="宋体" w:hAnsi="宋体" w:eastAsia="宋体" w:cs="宋体"/>
          <w:b w:val="0"/>
          <w:i w:val="0"/>
          <w:color w:val="000000"/>
          <w:sz w:val="17"/>
        </w:rPr>
        <w:t>A. 银行业务集中法</w:t>
      </w:r>
      <w:r>
        <w:rPr>
          <w:rFonts w:ascii="宋体" w:hAnsi="宋体" w:eastAsia="宋体" w:cs="宋体"/>
          <w:sz w:val="24"/>
        </w:rPr>
        <w:t xml:space="preserve">                   </w:t>
      </w:r>
      <w:r>
        <w:rPr>
          <w:rFonts w:ascii="宋体" w:hAnsi="宋体" w:eastAsia="宋体" w:cs="宋体"/>
          <w:b w:val="0"/>
          <w:i w:val="0"/>
          <w:color w:val="000000"/>
          <w:sz w:val="17"/>
        </w:rPr>
        <w:t>B. 合理运用“浮游量”</w:t>
      </w:r>
    </w:p>
    <w:p w14:paraId="214F1B95">
      <w:pPr>
        <w:wordWrap/>
        <w:autoSpaceDE w:val="0"/>
        <w:autoSpaceDN w:val="0"/>
        <w:spacing w:before="220" w:after="0" w:line="260" w:lineRule="atLeast"/>
        <w:ind w:left="700" w:right="0"/>
        <w:jc w:val="both"/>
        <w:textAlignment w:val="auto"/>
        <w:rPr>
          <w:sz w:val="24"/>
        </w:rPr>
      </w:pPr>
      <w:r>
        <w:rPr>
          <w:rFonts w:ascii="宋体" w:hAnsi="宋体" w:eastAsia="宋体" w:cs="宋体"/>
          <w:b w:val="0"/>
          <w:i w:val="0"/>
          <w:color w:val="000000"/>
          <w:sz w:val="17"/>
        </w:rPr>
        <w:t>C. 账龄分析法</w:t>
      </w:r>
      <w:r>
        <w:rPr>
          <w:rFonts w:ascii="宋体" w:hAnsi="宋体" w:eastAsia="宋体" w:cs="宋体"/>
          <w:sz w:val="24"/>
        </w:rPr>
        <w:t xml:space="preserve">                      </w:t>
      </w:r>
      <w:r>
        <w:rPr>
          <w:rFonts w:ascii="宋体" w:hAnsi="宋体" w:eastAsia="宋体" w:cs="宋体"/>
          <w:b w:val="0"/>
          <w:i w:val="0"/>
          <w:color w:val="000000"/>
          <w:sz w:val="17"/>
        </w:rPr>
        <w:t>D. 邮政信箱法</w:t>
      </w:r>
    </w:p>
    <w:p w14:paraId="30A0DEC5">
      <w:pPr>
        <w:wordWrap/>
        <w:autoSpaceDE w:val="0"/>
        <w:autoSpaceDN w:val="0"/>
        <w:spacing w:before="220" w:after="0" w:line="260" w:lineRule="atLeast"/>
        <w:ind w:left="180" w:right="0"/>
        <w:jc w:val="both"/>
        <w:textAlignment w:val="auto"/>
        <w:rPr>
          <w:sz w:val="17"/>
        </w:rPr>
      </w:pPr>
      <w:r>
        <w:rPr>
          <w:rFonts w:ascii="宋体" w:hAnsi="宋体" w:eastAsia="宋体" w:cs="宋体"/>
          <w:b w:val="0"/>
          <w:i w:val="0"/>
          <w:color w:val="000000"/>
          <w:sz w:val="17"/>
        </w:rPr>
        <w:t>15.在计算存货保本储存天数时，以下各项中不需要考虑的因素是 (  )。</w:t>
      </w:r>
    </w:p>
    <w:p w14:paraId="02DE7C56">
      <w:pPr>
        <w:wordWrap/>
        <w:autoSpaceDE w:val="0"/>
        <w:autoSpaceDN w:val="0"/>
        <w:spacing w:before="160" w:after="0" w:line="280" w:lineRule="atLeast"/>
        <w:ind w:left="700" w:right="0"/>
        <w:jc w:val="both"/>
        <w:textAlignment w:val="auto"/>
        <w:rPr>
          <w:sz w:val="24"/>
        </w:rPr>
      </w:pPr>
      <w:r>
        <w:rPr>
          <w:rFonts w:ascii="宋体" w:hAnsi="宋体" w:eastAsia="宋体" w:cs="宋体"/>
          <w:b w:val="0"/>
          <w:i w:val="0"/>
          <w:color w:val="000000"/>
          <w:sz w:val="17"/>
        </w:rPr>
        <w:t>A. 销售税金(营业税金)</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7"/>
        </w:rPr>
        <w:t>B. 变动储存费</w:t>
      </w:r>
    </w:p>
    <w:p w14:paraId="7B123E68">
      <w:pPr>
        <w:wordWrap/>
        <w:autoSpaceDE w:val="0"/>
        <w:autoSpaceDN w:val="0"/>
        <w:spacing w:before="200" w:after="0" w:line="280" w:lineRule="atLeast"/>
        <w:ind w:left="700" w:right="0"/>
        <w:jc w:val="both"/>
        <w:textAlignment w:val="auto"/>
        <w:rPr>
          <w:sz w:val="24"/>
        </w:rPr>
      </w:pPr>
      <w:r>
        <w:rPr>
          <w:rFonts w:ascii="宋体" w:hAnsi="宋体" w:eastAsia="宋体" w:cs="宋体"/>
          <w:b w:val="0"/>
          <w:i w:val="0"/>
          <w:color w:val="000000"/>
          <w:sz w:val="17"/>
        </w:rPr>
        <w:t>C. 所得税</w:t>
      </w:r>
      <w:r>
        <w:rPr>
          <w:rFonts w:ascii="宋体" w:hAnsi="宋体" w:eastAsia="宋体" w:cs="宋体"/>
          <w:sz w:val="24"/>
        </w:rPr>
        <w:t xml:space="preserve">                         </w:t>
      </w:r>
      <w:r>
        <w:rPr>
          <w:rFonts w:ascii="宋体" w:hAnsi="宋体" w:eastAsia="宋体" w:cs="宋体"/>
          <w:b w:val="0"/>
          <w:i w:val="0"/>
          <w:color w:val="000000"/>
          <w:sz w:val="17"/>
        </w:rPr>
        <w:t>D. 固定储存费</w:t>
      </w:r>
    </w:p>
    <w:p w14:paraId="3020C2D6">
      <w:pPr>
        <w:wordWrap/>
        <w:autoSpaceDE w:val="0"/>
        <w:autoSpaceDN w:val="0"/>
        <w:spacing w:before="220" w:after="0" w:line="260" w:lineRule="atLeast"/>
        <w:ind w:left="180" w:right="0"/>
        <w:jc w:val="both"/>
        <w:textAlignment w:val="auto"/>
        <w:rPr>
          <w:sz w:val="17"/>
        </w:rPr>
      </w:pPr>
      <w:r>
        <w:rPr>
          <w:rFonts w:ascii="宋体" w:hAnsi="宋体" w:eastAsia="宋体" w:cs="宋体"/>
          <w:b w:val="0"/>
          <w:i w:val="0"/>
          <w:color w:val="000000"/>
          <w:sz w:val="17"/>
        </w:rPr>
        <w:t>16.相对于其他股利政策而言，既可以维持股利的稳定性，又有利于优化资本结构的股利政策是(  )。</w:t>
      </w:r>
    </w:p>
    <w:p w14:paraId="219B1F8B">
      <w:pPr>
        <w:wordWrap/>
        <w:autoSpaceDE w:val="0"/>
        <w:autoSpaceDN w:val="0"/>
        <w:spacing w:before="180" w:after="0" w:line="260" w:lineRule="atLeast"/>
        <w:ind w:left="700" w:right="0"/>
        <w:jc w:val="both"/>
        <w:textAlignment w:val="auto"/>
        <w:rPr>
          <w:sz w:val="24"/>
        </w:rPr>
      </w:pPr>
      <w:r>
        <w:rPr>
          <w:rFonts w:ascii="宋体" w:hAnsi="宋体" w:eastAsia="宋体" w:cs="宋体"/>
          <w:b w:val="0"/>
          <w:i w:val="0"/>
          <w:color w:val="000000"/>
          <w:sz w:val="17"/>
        </w:rPr>
        <w:t>A. 剩余股利政策</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7"/>
        </w:rPr>
        <w:t>B. 固定股利政策</w:t>
      </w:r>
    </w:p>
    <w:p w14:paraId="00EFB4A7">
      <w:pPr>
        <w:wordWrap/>
        <w:autoSpaceDE w:val="0"/>
        <w:autoSpaceDN w:val="0"/>
        <w:spacing w:before="220" w:after="0" w:line="260" w:lineRule="atLeast"/>
        <w:ind w:left="700" w:right="0"/>
        <w:jc w:val="both"/>
        <w:textAlignment w:val="auto"/>
        <w:rPr>
          <w:sz w:val="24"/>
        </w:rPr>
      </w:pPr>
      <w:r>
        <w:rPr>
          <w:rFonts w:ascii="宋体" w:hAnsi="宋体" w:eastAsia="宋体" w:cs="宋体"/>
          <w:b w:val="0"/>
          <w:i w:val="0"/>
          <w:color w:val="000000"/>
          <w:sz w:val="17"/>
        </w:rPr>
        <w:t>C. 固定股利支付率政策</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7"/>
        </w:rPr>
        <w:t>D. 低正常股利加额外股利政策</w:t>
      </w:r>
    </w:p>
    <w:p w14:paraId="0956D55B">
      <w:pPr>
        <w:wordWrap/>
        <w:autoSpaceDE w:val="0"/>
        <w:autoSpaceDN w:val="0"/>
        <w:spacing w:before="200" w:after="0" w:line="260" w:lineRule="atLeast"/>
        <w:ind w:left="180" w:right="0"/>
        <w:jc w:val="both"/>
        <w:textAlignment w:val="auto"/>
        <w:rPr>
          <w:sz w:val="17"/>
        </w:rPr>
      </w:pPr>
      <w:r>
        <w:rPr>
          <w:rFonts w:ascii="宋体" w:hAnsi="宋体" w:eastAsia="宋体" w:cs="宋体"/>
          <w:b w:val="0"/>
          <w:i w:val="0"/>
          <w:color w:val="000000"/>
          <w:sz w:val="17"/>
        </w:rPr>
        <w:t>17.下列各项中，不属于股票回购方式的是 (  )。</w:t>
      </w:r>
    </w:p>
    <w:p w14:paraId="707AD87A">
      <w:pPr>
        <w:wordWrap/>
        <w:autoSpaceDE w:val="0"/>
        <w:autoSpaceDN w:val="0"/>
        <w:spacing w:before="200" w:after="0" w:line="260" w:lineRule="atLeast"/>
        <w:ind w:left="700" w:right="0"/>
        <w:jc w:val="both"/>
        <w:textAlignment w:val="auto"/>
        <w:rPr>
          <w:sz w:val="17"/>
        </w:rPr>
      </w:pPr>
      <w:r>
        <w:rPr>
          <w:rFonts w:ascii="宋体" w:hAnsi="宋体" w:eastAsia="宋体" w:cs="宋体"/>
          <w:b w:val="0"/>
          <w:i w:val="0"/>
          <w:color w:val="000000"/>
          <w:sz w:val="17"/>
        </w:rPr>
        <w:t>A. 用本公司普通股股票换回优先股</w:t>
      </w:r>
    </w:p>
    <w:p w14:paraId="68C0076C">
      <w:pPr>
        <w:wordWrap/>
        <w:autoSpaceDE w:val="0"/>
        <w:autoSpaceDN w:val="0"/>
        <w:spacing w:before="220" w:after="0" w:line="260" w:lineRule="atLeast"/>
        <w:ind w:left="700" w:right="0"/>
        <w:jc w:val="both"/>
        <w:textAlignment w:val="auto"/>
        <w:rPr>
          <w:sz w:val="17"/>
        </w:rPr>
      </w:pPr>
      <w:r>
        <w:rPr>
          <w:rFonts w:ascii="宋体" w:hAnsi="宋体" w:eastAsia="宋体" w:cs="宋体"/>
          <w:b w:val="0"/>
          <w:i w:val="0"/>
          <w:color w:val="000000"/>
          <w:sz w:val="17"/>
        </w:rPr>
        <w:t>B. 与少数大股东协商购买本公司普通股股票</w:t>
      </w:r>
    </w:p>
    <w:p w14:paraId="33DB0F4F">
      <w:pPr>
        <w:wordWrap/>
        <w:autoSpaceDE w:val="0"/>
        <w:autoSpaceDN w:val="0"/>
        <w:spacing w:before="220" w:after="0" w:line="260" w:lineRule="atLeast"/>
        <w:ind w:left="700" w:right="0"/>
        <w:jc w:val="both"/>
        <w:textAlignment w:val="auto"/>
        <w:rPr>
          <w:sz w:val="17"/>
        </w:rPr>
      </w:pPr>
      <w:r>
        <w:rPr>
          <w:rFonts w:ascii="宋体" w:hAnsi="宋体" w:eastAsia="宋体" w:cs="宋体"/>
          <w:b w:val="0"/>
          <w:i w:val="0"/>
          <w:color w:val="000000"/>
          <w:sz w:val="17"/>
        </w:rPr>
        <w:t>C. 在市上直接购买本公司普通股股票</w:t>
      </w:r>
    </w:p>
    <w:p w14:paraId="07896DF8">
      <w:pPr>
        <w:wordWrap/>
        <w:autoSpaceDE w:val="0"/>
        <w:autoSpaceDN w:val="0"/>
        <w:spacing w:before="200" w:after="0" w:line="280" w:lineRule="atLeast"/>
        <w:ind w:left="700" w:right="0"/>
        <w:jc w:val="both"/>
        <w:textAlignment w:val="auto"/>
        <w:rPr>
          <w:sz w:val="17"/>
        </w:rPr>
      </w:pPr>
      <w:r>
        <w:rPr>
          <w:rFonts w:ascii="宋体" w:hAnsi="宋体" w:eastAsia="宋体" w:cs="宋体"/>
          <w:b w:val="0"/>
          <w:i w:val="0"/>
          <w:color w:val="000000"/>
          <w:sz w:val="17"/>
        </w:rPr>
        <w:t>D. 向股东标购本公司普通股股票</w:t>
      </w:r>
    </w:p>
    <w:p w14:paraId="7C65B8BC">
      <w:pPr>
        <w:wordWrap/>
        <w:autoSpaceDE w:val="0"/>
        <w:autoSpaceDN w:val="0"/>
        <w:spacing w:before="0" w:after="0" w:line="440" w:lineRule="atLeast"/>
        <w:ind w:left="180" w:right="480"/>
        <w:jc w:val="both"/>
        <w:textAlignment w:val="auto"/>
        <w:rPr>
          <w:sz w:val="17"/>
        </w:rPr>
      </w:pPr>
      <w:r>
        <w:rPr>
          <w:rFonts w:ascii="宋体" w:hAnsi="宋体" w:eastAsia="宋体" w:cs="宋体"/>
          <w:b w:val="0"/>
          <w:i w:val="0"/>
          <w:color w:val="000000"/>
          <w:sz w:val="17"/>
        </w:rPr>
        <w:t>18.下列项目中，原本属于日常业务预算，但因其需要根据现金预算的相关数据来编制因此被纳入财务预算的是(  )。</w:t>
      </w:r>
    </w:p>
    <w:p w14:paraId="2E450E4C">
      <w:pPr>
        <w:wordWrap/>
        <w:autoSpaceDE w:val="0"/>
        <w:autoSpaceDN w:val="0"/>
        <w:spacing w:before="200" w:after="0" w:line="280" w:lineRule="atLeast"/>
        <w:ind w:left="700" w:right="0"/>
        <w:jc w:val="both"/>
        <w:textAlignment w:val="auto"/>
        <w:rPr>
          <w:sz w:val="24"/>
        </w:rPr>
      </w:pPr>
      <w:r>
        <w:rPr>
          <w:rFonts w:ascii="宋体" w:hAnsi="宋体" w:eastAsia="宋体" w:cs="宋体"/>
          <w:b w:val="0"/>
          <w:i w:val="0"/>
          <w:color w:val="000000"/>
          <w:sz w:val="17"/>
        </w:rPr>
        <w:t>A. 财务费用预算</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7"/>
        </w:rPr>
        <w:t>B. 预计利润表</w:t>
      </w:r>
    </w:p>
    <w:p w14:paraId="43132332">
      <w:pPr>
        <w:wordWrap/>
        <w:autoSpaceDE w:val="0"/>
        <w:autoSpaceDN w:val="0"/>
        <w:spacing w:before="200" w:after="0" w:line="280" w:lineRule="atLeast"/>
        <w:ind w:left="700" w:right="0"/>
        <w:jc w:val="both"/>
        <w:textAlignment w:val="auto"/>
        <w:rPr>
          <w:sz w:val="24"/>
        </w:rPr>
      </w:pPr>
      <w:r>
        <w:rPr>
          <w:rFonts w:ascii="宋体" w:hAnsi="宋体" w:eastAsia="宋体" w:cs="宋体"/>
          <w:b w:val="0"/>
          <w:i w:val="0"/>
          <w:color w:val="000000"/>
          <w:sz w:val="17"/>
        </w:rPr>
        <w:t>C. 销售费用预算</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7"/>
        </w:rPr>
        <w:t>D. 预计资产负债表</w:t>
      </w:r>
    </w:p>
    <w:p w14:paraId="4D94FE6A">
      <w:pPr>
        <w:wordWrap/>
        <w:autoSpaceDE w:val="0"/>
        <w:autoSpaceDN w:val="0"/>
        <w:spacing w:before="160" w:after="0" w:line="260" w:lineRule="atLeast"/>
        <w:ind w:left="180" w:right="0"/>
        <w:jc w:val="both"/>
        <w:textAlignment w:val="auto"/>
        <w:rPr>
          <w:sz w:val="17"/>
        </w:rPr>
      </w:pPr>
      <w:r>
        <w:rPr>
          <w:rFonts w:ascii="宋体" w:hAnsi="宋体" w:eastAsia="宋体" w:cs="宋体"/>
          <w:b w:val="0"/>
          <w:i w:val="0"/>
          <w:color w:val="000000"/>
          <w:sz w:val="17"/>
        </w:rPr>
        <w:t>19.不论利润中心是否计算共同成本或不可控成本，都必须考核的指标是 (  )。</w:t>
      </w:r>
    </w:p>
    <w:p w14:paraId="31263F55">
      <w:pPr>
        <w:wordWrap/>
        <w:autoSpaceDE w:val="0"/>
        <w:autoSpaceDN w:val="0"/>
        <w:spacing w:before="220" w:after="0" w:line="280" w:lineRule="atLeast"/>
        <w:ind w:left="700" w:right="0"/>
        <w:jc w:val="both"/>
        <w:textAlignment w:val="auto"/>
        <w:rPr>
          <w:sz w:val="24"/>
        </w:rPr>
      </w:pPr>
      <w:r>
        <w:rPr>
          <w:rFonts w:ascii="宋体" w:hAnsi="宋体" w:eastAsia="宋体" w:cs="宋体"/>
          <w:b w:val="0"/>
          <w:i w:val="0"/>
          <w:color w:val="000000"/>
          <w:sz w:val="17"/>
        </w:rPr>
        <w:t>A. 该中心的剩余收益</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7"/>
        </w:rPr>
        <w:t>B. 该中心的边际贡献总额</w:t>
      </w:r>
    </w:p>
    <w:p w14:paraId="4A294AC3">
      <w:pPr>
        <w:wordWrap/>
        <w:autoSpaceDE w:val="0"/>
        <w:autoSpaceDN w:val="0"/>
        <w:spacing w:before="220" w:after="0" w:line="260" w:lineRule="atLeast"/>
        <w:ind w:left="700" w:right="0"/>
        <w:jc w:val="both"/>
        <w:textAlignment w:val="auto"/>
        <w:rPr>
          <w:sz w:val="24"/>
        </w:rPr>
      </w:pPr>
      <w:r>
        <w:rPr>
          <w:rFonts w:ascii="宋体" w:hAnsi="宋体" w:eastAsia="宋体" w:cs="宋体"/>
          <w:b w:val="0"/>
          <w:i w:val="0"/>
          <w:color w:val="000000"/>
          <w:sz w:val="17"/>
        </w:rPr>
        <w:t>C. 该中心的可控利润总额</w:t>
      </w:r>
      <w:r>
        <w:rPr>
          <w:rFonts w:ascii="宋体" w:hAnsi="宋体" w:eastAsia="宋体" w:cs="宋体"/>
          <w:sz w:val="24"/>
        </w:rPr>
        <w:t xml:space="preserve">               </w:t>
      </w:r>
      <w:r>
        <w:rPr>
          <w:rFonts w:ascii="宋体" w:hAnsi="宋体" w:eastAsia="宋体" w:cs="宋体"/>
          <w:b w:val="0"/>
          <w:i w:val="0"/>
          <w:color w:val="000000"/>
          <w:sz w:val="17"/>
        </w:rPr>
        <w:t>D. 该中心负责人的可控利润总额</w:t>
      </w:r>
      <w:r>
        <w:br w:type="page"/>
      </w:r>
    </w:p>
    <w:p w14:paraId="0B04ABEA">
      <w:pPr>
        <w:wordWrap/>
        <w:autoSpaceDE w:val="0"/>
        <w:autoSpaceDN w:val="0"/>
        <w:spacing w:before="660" w:after="0" w:line="280" w:lineRule="atLeast"/>
        <w:ind w:left="160" w:right="0"/>
        <w:jc w:val="both"/>
        <w:textAlignment w:val="auto"/>
        <w:rPr>
          <w:sz w:val="17"/>
        </w:rPr>
      </w:pPr>
      <w:r>
        <w:rPr>
          <w:rFonts w:ascii="宋体" w:hAnsi="宋体" w:eastAsia="宋体" w:cs="宋体"/>
          <w:b w:val="0"/>
          <w:i w:val="0"/>
          <w:color w:val="000000"/>
          <w:sz w:val="17"/>
        </w:rPr>
        <w:t>20.在分权组织结构下，编制责任预算的程序通常是 (  )。</w:t>
      </w:r>
    </w:p>
    <w:p w14:paraId="26ECD046">
      <w:pPr>
        <w:wordWrap/>
        <w:autoSpaceDE w:val="0"/>
        <w:autoSpaceDN w:val="0"/>
        <w:spacing w:before="220" w:after="0" w:line="260" w:lineRule="atLeast"/>
        <w:ind w:left="700" w:right="0"/>
        <w:jc w:val="both"/>
        <w:textAlignment w:val="auto"/>
        <w:rPr>
          <w:sz w:val="24"/>
        </w:rPr>
      </w:pPr>
      <w:r>
        <w:rPr>
          <w:rFonts w:ascii="宋体" w:hAnsi="宋体" w:eastAsia="宋体" w:cs="宋体"/>
          <w:b w:val="0"/>
          <w:i w:val="0"/>
          <w:color w:val="000000"/>
          <w:sz w:val="17"/>
        </w:rPr>
        <w:t>A. 自上而下、层层分解</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7"/>
        </w:rPr>
        <w:t>B. 自上而下、层层汇总</w:t>
      </w:r>
    </w:p>
    <w:p w14:paraId="5A48657F">
      <w:pPr>
        <w:wordWrap/>
        <w:autoSpaceDE w:val="0"/>
        <w:autoSpaceDN w:val="0"/>
        <w:spacing w:before="200" w:after="0" w:line="260" w:lineRule="atLeast"/>
        <w:ind w:left="700" w:right="0"/>
        <w:jc w:val="both"/>
        <w:textAlignment w:val="auto"/>
        <w:rPr>
          <w:sz w:val="24"/>
        </w:rPr>
      </w:pPr>
      <w:r>
        <w:rPr>
          <w:rFonts w:ascii="宋体" w:hAnsi="宋体" w:eastAsia="宋体" w:cs="宋体"/>
          <w:b w:val="0"/>
          <w:i w:val="0"/>
          <w:color w:val="000000"/>
          <w:sz w:val="17"/>
        </w:rPr>
        <w:t>C. 由下而上、层层分解</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7"/>
        </w:rPr>
        <w:t>D. 由下而上、层层汇总</w:t>
      </w:r>
    </w:p>
    <w:p w14:paraId="66E2C4B8">
      <w:pPr>
        <w:wordWrap/>
        <w:autoSpaceDE w:val="0"/>
        <w:autoSpaceDN w:val="0"/>
        <w:spacing w:before="180" w:after="0" w:line="280" w:lineRule="atLeast"/>
        <w:ind w:left="160" w:right="0"/>
        <w:jc w:val="both"/>
        <w:textAlignment w:val="auto"/>
        <w:rPr>
          <w:sz w:val="17"/>
        </w:rPr>
      </w:pPr>
      <w:r>
        <w:rPr>
          <w:rFonts w:ascii="宋体" w:hAnsi="宋体" w:eastAsia="宋体" w:cs="宋体"/>
          <w:b w:val="0"/>
          <w:i w:val="0"/>
          <w:color w:val="000000"/>
          <w:sz w:val="17"/>
        </w:rPr>
        <w:t>21.如果流动负债小于流动资产，则期末以现金偿付一笔短期借款所导致的结果是 (  )。</w:t>
      </w:r>
    </w:p>
    <w:p w14:paraId="1FC545D2">
      <w:pPr>
        <w:wordWrap/>
        <w:autoSpaceDE w:val="0"/>
        <w:autoSpaceDN w:val="0"/>
        <w:spacing w:before="200" w:after="0" w:line="280" w:lineRule="atLeast"/>
        <w:ind w:left="700" w:right="0"/>
        <w:jc w:val="both"/>
        <w:textAlignment w:val="auto"/>
        <w:rPr>
          <w:sz w:val="24"/>
        </w:rPr>
      </w:pPr>
      <w:r>
        <w:rPr>
          <w:rFonts w:ascii="宋体" w:hAnsi="宋体" w:eastAsia="宋体" w:cs="宋体"/>
          <w:b w:val="0"/>
          <w:i w:val="0"/>
          <w:color w:val="000000"/>
          <w:sz w:val="17"/>
        </w:rPr>
        <w:t>A. 营运资金减少</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7"/>
        </w:rPr>
        <w:t>B. 营运资金增加</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7"/>
        </w:rPr>
        <w:t>C. 流动比率降低</w:t>
      </w:r>
      <w:r>
        <w:rPr>
          <w:rFonts w:ascii="宋体" w:hAnsi="宋体" w:eastAsia="宋体" w:cs="宋体"/>
          <w:sz w:val="24"/>
        </w:rPr>
        <w:t xml:space="preserve">     </w:t>
      </w:r>
      <w:r>
        <w:rPr>
          <w:rFonts w:ascii="宋体" w:hAnsi="宋体" w:eastAsia="宋体" w:cs="宋体"/>
          <w:b w:val="0"/>
          <w:i w:val="0"/>
          <w:color w:val="000000"/>
          <w:sz w:val="17"/>
        </w:rPr>
        <w:t>D. 流动比率提高</w:t>
      </w:r>
    </w:p>
    <w:p w14:paraId="0C98E907">
      <w:pPr>
        <w:wordWrap/>
        <w:autoSpaceDE w:val="0"/>
        <w:autoSpaceDN w:val="0"/>
        <w:spacing w:before="200" w:after="0" w:line="280" w:lineRule="atLeast"/>
        <w:ind w:left="160" w:right="0"/>
        <w:jc w:val="both"/>
        <w:textAlignment w:val="auto"/>
        <w:rPr>
          <w:sz w:val="17"/>
        </w:rPr>
      </w:pPr>
      <w:r>
        <w:rPr>
          <w:rFonts w:ascii="宋体" w:hAnsi="宋体" w:eastAsia="宋体" w:cs="宋体"/>
          <w:b w:val="0"/>
          <w:i w:val="0"/>
          <w:color w:val="000000"/>
          <w:sz w:val="17"/>
        </w:rPr>
        <w:t>22.下列各项展开式中不等于每股收益的是(  )。</w:t>
      </w:r>
    </w:p>
    <w:p w14:paraId="0CCB3C17">
      <w:pPr>
        <w:wordWrap/>
        <w:autoSpaceDE w:val="0"/>
        <w:autoSpaceDN w:val="0"/>
        <w:spacing w:before="180" w:after="0" w:line="260" w:lineRule="atLeast"/>
        <w:ind w:left="700" w:right="0"/>
        <w:jc w:val="both"/>
        <w:textAlignment w:val="auto"/>
        <w:rPr>
          <w:sz w:val="17"/>
        </w:rPr>
      </w:pPr>
      <w:r>
        <w:rPr>
          <w:rFonts w:ascii="宋体" w:hAnsi="宋体" w:eastAsia="宋体" w:cs="宋体"/>
          <w:b w:val="0"/>
          <w:i w:val="0"/>
          <w:color w:val="000000"/>
          <w:sz w:val="17"/>
        </w:rPr>
        <w:t>A. 总资产收益率×平均每股净资产</w:t>
      </w:r>
    </w:p>
    <w:p w14:paraId="7CE3C915">
      <w:pPr>
        <w:wordWrap/>
        <w:autoSpaceDE w:val="0"/>
        <w:autoSpaceDN w:val="0"/>
        <w:spacing w:before="220" w:after="0" w:line="260" w:lineRule="atLeast"/>
        <w:ind w:left="700" w:right="0"/>
        <w:jc w:val="both"/>
        <w:textAlignment w:val="auto"/>
        <w:rPr>
          <w:sz w:val="17"/>
        </w:rPr>
      </w:pPr>
      <w:r>
        <w:rPr>
          <w:rFonts w:ascii="宋体" w:hAnsi="宋体" w:eastAsia="宋体" w:cs="宋体"/>
          <w:b w:val="0"/>
          <w:i w:val="0"/>
          <w:color w:val="000000"/>
          <w:sz w:val="17"/>
        </w:rPr>
        <w:t>B. 股东权益收益率×平均每股净资产</w:t>
      </w:r>
    </w:p>
    <w:p w14:paraId="6EF5EDF1">
      <w:pPr>
        <w:wordWrap/>
        <w:autoSpaceDE w:val="0"/>
        <w:autoSpaceDN w:val="0"/>
        <w:spacing w:before="220" w:after="0" w:line="260" w:lineRule="atLeast"/>
        <w:ind w:left="700" w:right="0"/>
        <w:jc w:val="both"/>
        <w:textAlignment w:val="auto"/>
        <w:rPr>
          <w:sz w:val="17"/>
        </w:rPr>
      </w:pPr>
      <w:r>
        <w:rPr>
          <w:rFonts w:ascii="宋体" w:hAnsi="宋体" w:eastAsia="宋体" w:cs="宋体"/>
          <w:b w:val="0"/>
          <w:i w:val="0"/>
          <w:color w:val="000000"/>
          <w:sz w:val="17"/>
        </w:rPr>
        <w:t>C. 总资产收益率×权益乘数×平均每股净资产</w:t>
      </w:r>
    </w:p>
    <w:p w14:paraId="0C954A42">
      <w:pPr>
        <w:wordWrap/>
        <w:autoSpaceDE w:val="0"/>
        <w:autoSpaceDN w:val="0"/>
        <w:spacing w:before="160" w:after="0" w:line="280" w:lineRule="atLeast"/>
        <w:ind w:left="700" w:right="0"/>
        <w:jc w:val="both"/>
        <w:textAlignment w:val="auto"/>
        <w:rPr>
          <w:sz w:val="17"/>
        </w:rPr>
      </w:pPr>
      <w:r>
        <w:rPr>
          <w:rFonts w:ascii="宋体" w:hAnsi="宋体" w:eastAsia="宋体" w:cs="宋体"/>
          <w:b w:val="0"/>
          <w:i w:val="0"/>
          <w:color w:val="000000"/>
          <w:sz w:val="17"/>
        </w:rPr>
        <w:t>D. 主营业务收入净利率×总资产周转率×权益乘数×平均每股净资产</w:t>
      </w:r>
    </w:p>
    <w:p w14:paraId="6BCCF01C">
      <w:pPr>
        <w:wordWrap/>
        <w:autoSpaceDE w:val="0"/>
        <w:autoSpaceDN w:val="0"/>
        <w:spacing w:before="200" w:after="0" w:line="280" w:lineRule="atLeast"/>
        <w:ind w:left="160" w:right="0"/>
        <w:jc w:val="both"/>
        <w:textAlignment w:val="auto"/>
        <w:rPr>
          <w:sz w:val="17"/>
        </w:rPr>
      </w:pPr>
      <w:r>
        <w:rPr>
          <w:rFonts w:ascii="宋体" w:hAnsi="宋体" w:eastAsia="宋体" w:cs="宋体"/>
          <w:b w:val="0"/>
          <w:i w:val="0"/>
          <w:color w:val="000000"/>
          <w:sz w:val="17"/>
        </w:rPr>
        <w:t>23.在没有通货膨胀的条件下，纯利率是指(  )。</w:t>
      </w:r>
    </w:p>
    <w:p w14:paraId="3C32A148">
      <w:pPr>
        <w:wordWrap/>
        <w:autoSpaceDE w:val="0"/>
        <w:autoSpaceDN w:val="0"/>
        <w:spacing w:before="220" w:after="0" w:line="260" w:lineRule="atLeast"/>
        <w:ind w:left="700" w:right="0"/>
        <w:jc w:val="both"/>
        <w:textAlignment w:val="auto"/>
        <w:rPr>
          <w:sz w:val="24"/>
        </w:rPr>
      </w:pPr>
      <w:r>
        <w:rPr>
          <w:rFonts w:ascii="宋体" w:hAnsi="宋体" w:eastAsia="宋体" w:cs="宋体"/>
          <w:b w:val="0"/>
          <w:i w:val="0"/>
          <w:color w:val="000000"/>
          <w:sz w:val="17"/>
        </w:rPr>
        <w:t>A. 投资期望收益率</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7"/>
        </w:rPr>
        <w:t>B. 银行贷款基准利率</w:t>
      </w:r>
    </w:p>
    <w:p w14:paraId="31F87C73">
      <w:pPr>
        <w:wordWrap/>
        <w:autoSpaceDE w:val="0"/>
        <w:autoSpaceDN w:val="0"/>
        <w:spacing w:before="220" w:after="0" w:line="260" w:lineRule="atLeast"/>
        <w:ind w:left="700" w:right="0"/>
        <w:jc w:val="both"/>
        <w:textAlignment w:val="auto"/>
        <w:rPr>
          <w:sz w:val="24"/>
        </w:rPr>
      </w:pPr>
      <w:r>
        <w:rPr>
          <w:rFonts w:ascii="宋体" w:hAnsi="宋体" w:eastAsia="宋体" w:cs="宋体"/>
          <w:b w:val="0"/>
          <w:i w:val="0"/>
          <w:color w:val="000000"/>
          <w:sz w:val="17"/>
        </w:rPr>
        <w:t>C. 社会实际平均收益率</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7"/>
        </w:rPr>
        <w:t>D. 没有风险的均衡点利率</w:t>
      </w:r>
    </w:p>
    <w:p w14:paraId="46359847">
      <w:pPr>
        <w:wordWrap/>
        <w:autoSpaceDE w:val="0"/>
        <w:autoSpaceDN w:val="0"/>
        <w:spacing w:before="160" w:after="0" w:line="280" w:lineRule="atLeast"/>
        <w:ind w:left="160" w:right="0"/>
        <w:jc w:val="both"/>
        <w:textAlignment w:val="auto"/>
        <w:rPr>
          <w:sz w:val="17"/>
        </w:rPr>
      </w:pPr>
      <w:r>
        <w:rPr>
          <w:rFonts w:ascii="宋体" w:hAnsi="宋体" w:eastAsia="宋体" w:cs="宋体"/>
          <w:b w:val="0"/>
          <w:i w:val="0"/>
          <w:color w:val="000000"/>
          <w:sz w:val="17"/>
        </w:rPr>
        <w:t>24.下列各项中，不能协调所有者与债权人之间矛盾的方式是 (  )。</w:t>
      </w:r>
    </w:p>
    <w:p w14:paraId="22B15ED0">
      <w:pPr>
        <w:wordWrap/>
        <w:autoSpaceDE w:val="0"/>
        <w:autoSpaceDN w:val="0"/>
        <w:spacing w:before="200" w:after="0" w:line="280" w:lineRule="atLeast"/>
        <w:ind w:left="700" w:right="0"/>
        <w:jc w:val="both"/>
        <w:textAlignment w:val="auto"/>
        <w:rPr>
          <w:sz w:val="24"/>
        </w:rPr>
      </w:pPr>
      <w:r>
        <w:rPr>
          <w:rFonts w:ascii="宋体" w:hAnsi="宋体" w:eastAsia="宋体" w:cs="宋体"/>
          <w:b w:val="0"/>
          <w:i w:val="0"/>
          <w:color w:val="000000"/>
          <w:sz w:val="17"/>
        </w:rPr>
        <w:t>A. 市场对公司强行接收或吞并</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7"/>
        </w:rPr>
        <w:t>B. 债权人通过合同实施限制性借款</w:t>
      </w:r>
    </w:p>
    <w:p w14:paraId="366984F1">
      <w:pPr>
        <w:wordWrap/>
        <w:autoSpaceDE w:val="0"/>
        <w:autoSpaceDN w:val="0"/>
        <w:spacing w:before="200" w:after="0" w:line="280" w:lineRule="atLeast"/>
        <w:ind w:left="700" w:right="0"/>
        <w:jc w:val="both"/>
        <w:textAlignment w:val="auto"/>
        <w:rPr>
          <w:sz w:val="24"/>
        </w:rPr>
      </w:pPr>
      <w:r>
        <w:rPr>
          <w:rFonts w:ascii="宋体" w:hAnsi="宋体" w:eastAsia="宋体" w:cs="宋体"/>
          <w:b w:val="0"/>
          <w:i w:val="0"/>
          <w:color w:val="000000"/>
          <w:sz w:val="17"/>
        </w:rPr>
        <w:t>C. 债权人停止借款</w:t>
      </w:r>
      <w:r>
        <w:rPr>
          <w:rFonts w:ascii="宋体" w:hAnsi="宋体" w:eastAsia="宋体" w:cs="宋体"/>
          <w:sz w:val="24"/>
        </w:rPr>
        <w:t xml:space="preserve">                   </w:t>
      </w:r>
      <w:r>
        <w:rPr>
          <w:rFonts w:ascii="宋体" w:hAnsi="宋体" w:eastAsia="宋体" w:cs="宋体"/>
          <w:b w:val="0"/>
          <w:i w:val="0"/>
          <w:color w:val="000000"/>
          <w:sz w:val="17"/>
        </w:rPr>
        <w:t>D. 债权人收回借款</w:t>
      </w:r>
    </w:p>
    <w:p w14:paraId="334987DE">
      <w:pPr>
        <w:wordWrap/>
        <w:autoSpaceDE w:val="0"/>
        <w:autoSpaceDN w:val="0"/>
        <w:spacing w:before="40" w:after="0" w:line="440" w:lineRule="atLeast"/>
        <w:ind w:left="160" w:right="420"/>
        <w:jc w:val="both"/>
        <w:textAlignment w:val="auto"/>
        <w:rPr>
          <w:sz w:val="17"/>
        </w:rPr>
      </w:pPr>
      <w:r>
        <w:rPr>
          <w:rFonts w:ascii="宋体" w:hAnsi="宋体" w:eastAsia="宋体" w:cs="宋体"/>
          <w:b w:val="0"/>
          <w:i w:val="0"/>
          <w:color w:val="000000"/>
          <w:sz w:val="17"/>
        </w:rPr>
        <w:t>25.某企业于年初存入银行10000元, 假定年利息率为12%, 每年复利两次.已知(F/P, 6%, 5)=1.3382,(F/P, 6%, 10) =1.7908,(F/P, 12%, 5)=1.7623,(F/P, 12%, 10) =3.1058, 则第5年末的本利和为(  )元。</w:t>
      </w:r>
    </w:p>
    <w:p w14:paraId="7E284B59">
      <w:pPr>
        <w:wordWrap/>
        <w:autoSpaceDE w:val="0"/>
        <w:autoSpaceDN w:val="0"/>
        <w:spacing w:before="160" w:after="0" w:line="280" w:lineRule="atLeast"/>
        <w:ind w:left="700" w:right="0"/>
        <w:jc w:val="both"/>
        <w:textAlignment w:val="auto"/>
        <w:rPr>
          <w:sz w:val="24"/>
        </w:rPr>
      </w:pPr>
      <w:r>
        <w:rPr>
          <w:rFonts w:ascii="宋体" w:hAnsi="宋体" w:eastAsia="宋体" w:cs="宋体"/>
          <w:b w:val="0"/>
          <w:i w:val="0"/>
          <w:color w:val="000000"/>
          <w:sz w:val="17"/>
        </w:rPr>
        <w:t>A. 13382</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7"/>
        </w:rPr>
        <w:t>B. 17623</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7"/>
        </w:rPr>
        <w:t>C. 17908</w:t>
      </w:r>
      <w:r>
        <w:rPr>
          <w:rFonts w:ascii="宋体" w:hAnsi="宋体" w:eastAsia="宋体" w:cs="宋体"/>
          <w:sz w:val="24"/>
        </w:rPr>
        <w:t xml:space="preserve">          </w:t>
      </w:r>
      <w:r>
        <w:rPr>
          <w:rFonts w:ascii="宋体" w:hAnsi="宋体" w:eastAsia="宋体" w:cs="宋体"/>
          <w:b w:val="0"/>
          <w:i w:val="0"/>
          <w:color w:val="000000"/>
          <w:sz w:val="17"/>
        </w:rPr>
        <w:t>D. 31058</w:t>
      </w:r>
    </w:p>
    <w:p w14:paraId="206094BF">
      <w:pPr>
        <w:wordWrap/>
        <w:autoSpaceDE w:val="0"/>
        <w:autoSpaceDN w:val="0"/>
        <w:spacing w:before="220" w:after="0" w:line="260" w:lineRule="atLeast"/>
        <w:ind w:left="4200" w:right="0"/>
        <w:jc w:val="both"/>
        <w:textAlignment w:val="auto"/>
        <w:rPr>
          <w:sz w:val="16"/>
        </w:rPr>
      </w:pPr>
      <w:r>
        <w:rPr>
          <w:rFonts w:ascii="宋体" w:hAnsi="宋体" w:eastAsia="宋体" w:cs="宋体"/>
          <w:b w:val="0"/>
          <w:i w:val="0"/>
          <w:color w:val="000000"/>
          <w:sz w:val="16"/>
        </w:rPr>
        <w:t>二、 多项选择题</w:t>
      </w:r>
    </w:p>
    <w:p w14:paraId="2ED6F002">
      <w:pPr>
        <w:wordWrap/>
        <w:autoSpaceDE w:val="0"/>
        <w:autoSpaceDN w:val="0"/>
        <w:spacing w:before="220" w:after="0" w:line="260" w:lineRule="atLeast"/>
        <w:ind w:left="160" w:right="0"/>
        <w:jc w:val="both"/>
        <w:textAlignment w:val="auto"/>
        <w:rPr>
          <w:sz w:val="17"/>
        </w:rPr>
      </w:pPr>
      <w:r>
        <w:rPr>
          <w:rFonts w:ascii="宋体" w:hAnsi="宋体" w:eastAsia="宋体" w:cs="宋体"/>
          <w:b w:val="0"/>
          <w:i w:val="0"/>
          <w:color w:val="000000"/>
          <w:sz w:val="17"/>
        </w:rPr>
        <w:t>26.下列各项中，可用于计算单一方案净现值指标的方法有 (  )。</w:t>
      </w:r>
    </w:p>
    <w:p w14:paraId="637D200A">
      <w:pPr>
        <w:wordWrap/>
        <w:autoSpaceDE w:val="0"/>
        <w:autoSpaceDN w:val="0"/>
        <w:spacing w:before="180" w:after="0" w:line="300" w:lineRule="atLeast"/>
        <w:ind w:left="700" w:right="0"/>
        <w:jc w:val="both"/>
        <w:textAlignment w:val="auto"/>
        <w:rPr>
          <w:sz w:val="24"/>
        </w:rPr>
      </w:pPr>
      <w:r>
        <w:rPr>
          <w:rFonts w:ascii="宋体" w:hAnsi="宋体" w:eastAsia="宋体" w:cs="宋体"/>
          <w:b w:val="0"/>
          <w:i w:val="0"/>
          <w:color w:val="000000"/>
          <w:sz w:val="17"/>
        </w:rPr>
        <w:t>A. 公式法</w:t>
      </w:r>
      <w:r>
        <w:rPr>
          <w:rFonts w:ascii="宋体" w:hAnsi="宋体" w:eastAsia="宋体" w:cs="宋体"/>
          <w:sz w:val="24"/>
        </w:rPr>
        <w:t xml:space="preserve">         </w:t>
      </w:r>
      <w:r>
        <w:rPr>
          <w:rFonts w:ascii="宋体" w:hAnsi="宋体" w:eastAsia="宋体" w:cs="宋体"/>
          <w:b w:val="0"/>
          <w:i w:val="0"/>
          <w:color w:val="000000"/>
          <w:sz w:val="17"/>
        </w:rPr>
        <w:t>B. 方案重复法</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7"/>
        </w:rPr>
        <w:t>C. 插入函数法</w:t>
      </w:r>
      <w:r>
        <w:rPr>
          <w:rFonts w:ascii="宋体" w:hAnsi="宋体" w:eastAsia="宋体" w:cs="宋体"/>
          <w:sz w:val="24"/>
        </w:rPr>
        <w:t xml:space="preserve">      </w:t>
      </w:r>
      <w:r>
        <w:rPr>
          <w:rFonts w:ascii="宋体" w:hAnsi="宋体" w:eastAsia="宋体" w:cs="宋体"/>
          <w:b w:val="0"/>
          <w:i w:val="0"/>
          <w:color w:val="000000"/>
          <w:sz w:val="17"/>
        </w:rPr>
        <w:t>D. 逐次测试法</w:t>
      </w:r>
    </w:p>
    <w:p w14:paraId="5D2187DE">
      <w:pPr>
        <w:wordWrap/>
        <w:autoSpaceDE w:val="0"/>
        <w:autoSpaceDN w:val="0"/>
        <w:spacing w:before="140" w:after="0" w:line="260" w:lineRule="atLeast"/>
        <w:ind w:left="160" w:right="0"/>
        <w:jc w:val="both"/>
        <w:textAlignment w:val="auto"/>
        <w:rPr>
          <w:sz w:val="17"/>
        </w:rPr>
      </w:pPr>
      <w:r>
        <w:rPr>
          <w:rFonts w:ascii="宋体" w:hAnsi="宋体" w:eastAsia="宋体" w:cs="宋体"/>
          <w:b w:val="0"/>
          <w:i w:val="0"/>
          <w:color w:val="000000"/>
          <w:sz w:val="17"/>
        </w:rPr>
        <w:t>27.契约型基金又称单位信托基金，其当事人包括(  )。</w:t>
      </w:r>
    </w:p>
    <w:p w14:paraId="723FBBF0">
      <w:pPr>
        <w:wordWrap/>
        <w:autoSpaceDE w:val="0"/>
        <w:autoSpaceDN w:val="0"/>
        <w:spacing w:before="240" w:after="0" w:line="260" w:lineRule="atLeast"/>
        <w:ind w:left="700" w:right="0"/>
        <w:jc w:val="both"/>
        <w:textAlignment w:val="auto"/>
        <w:rPr>
          <w:sz w:val="24"/>
        </w:rPr>
      </w:pPr>
      <w:r>
        <w:rPr>
          <w:rFonts w:ascii="宋体" w:hAnsi="宋体" w:eastAsia="宋体" w:cs="宋体"/>
          <w:b w:val="0"/>
          <w:i w:val="0"/>
          <w:color w:val="000000"/>
          <w:sz w:val="17"/>
        </w:rPr>
        <w:t>A. 受益人</w:t>
      </w:r>
      <w:r>
        <w:rPr>
          <w:rFonts w:ascii="宋体" w:hAnsi="宋体" w:eastAsia="宋体" w:cs="宋体"/>
          <w:sz w:val="24"/>
        </w:rPr>
        <w:t xml:space="preserve">         </w:t>
      </w:r>
      <w:r>
        <w:rPr>
          <w:rFonts w:ascii="宋体" w:hAnsi="宋体" w:eastAsia="宋体" w:cs="宋体"/>
          <w:b w:val="0"/>
          <w:i w:val="0"/>
          <w:color w:val="000000"/>
          <w:sz w:val="17"/>
        </w:rPr>
        <w:t>B. 管理人</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7"/>
        </w:rPr>
        <w:t>C. 托管人</w:t>
      </w:r>
      <w:r>
        <w:rPr>
          <w:rFonts w:ascii="宋体" w:hAnsi="宋体" w:eastAsia="宋体" w:cs="宋体"/>
          <w:sz w:val="24"/>
        </w:rPr>
        <w:t xml:space="preserve">         </w:t>
      </w:r>
      <w:r>
        <w:rPr>
          <w:rFonts w:ascii="宋体" w:hAnsi="宋体" w:eastAsia="宋体" w:cs="宋体"/>
          <w:b w:val="0"/>
          <w:i w:val="0"/>
          <w:color w:val="000000"/>
          <w:sz w:val="17"/>
        </w:rPr>
        <w:t>D. 投资人</w:t>
      </w:r>
    </w:p>
    <w:p w14:paraId="147EC039">
      <w:pPr>
        <w:wordWrap/>
        <w:autoSpaceDE w:val="0"/>
        <w:autoSpaceDN w:val="0"/>
        <w:spacing w:before="220" w:after="0" w:line="260" w:lineRule="atLeast"/>
        <w:ind w:left="160" w:right="0"/>
        <w:jc w:val="both"/>
        <w:textAlignment w:val="auto"/>
        <w:rPr>
          <w:sz w:val="17"/>
        </w:rPr>
      </w:pPr>
      <w:r>
        <w:rPr>
          <w:rFonts w:ascii="宋体" w:hAnsi="宋体" w:eastAsia="宋体" w:cs="宋体"/>
          <w:b w:val="0"/>
          <w:i w:val="0"/>
          <w:color w:val="000000"/>
          <w:sz w:val="17"/>
        </w:rPr>
        <w:t>28.赊销在企业生产经营中所发挥的作用有 (  )。</w:t>
      </w:r>
    </w:p>
    <w:p w14:paraId="47F18212">
      <w:pPr>
        <w:wordWrap/>
        <w:autoSpaceDE w:val="0"/>
        <w:autoSpaceDN w:val="0"/>
        <w:spacing w:before="200" w:after="0" w:line="260" w:lineRule="atLeast"/>
        <w:ind w:left="700" w:right="0"/>
        <w:jc w:val="both"/>
        <w:textAlignment w:val="auto"/>
        <w:rPr>
          <w:sz w:val="24"/>
        </w:rPr>
      </w:pPr>
      <w:r>
        <w:rPr>
          <w:rFonts w:ascii="宋体" w:hAnsi="宋体" w:eastAsia="宋体" w:cs="宋体"/>
          <w:b w:val="0"/>
          <w:i w:val="0"/>
          <w:color w:val="000000"/>
          <w:sz w:val="17"/>
        </w:rPr>
        <w:t>A. 增加现金</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7"/>
        </w:rPr>
        <w:t>B. 减少存货</w:t>
      </w:r>
      <w:r>
        <w:rPr>
          <w:rFonts w:ascii="宋体" w:hAnsi="宋体" w:eastAsia="宋体" w:cs="宋体"/>
          <w:sz w:val="24"/>
        </w:rPr>
        <w:t xml:space="preserve">        </w:t>
      </w:r>
      <w:r>
        <w:rPr>
          <w:rFonts w:ascii="宋体" w:hAnsi="宋体" w:eastAsia="宋体" w:cs="宋体"/>
          <w:b w:val="0"/>
          <w:i w:val="0"/>
          <w:color w:val="000000"/>
          <w:sz w:val="17"/>
        </w:rPr>
        <w:t>C. 促进销售</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7"/>
        </w:rPr>
        <w:t>D. 减少借款</w:t>
      </w:r>
    </w:p>
    <w:p w14:paraId="1E6D80B6">
      <w:pPr>
        <w:wordWrap/>
        <w:autoSpaceDE w:val="0"/>
        <w:autoSpaceDN w:val="0"/>
        <w:spacing w:before="180" w:after="0" w:line="260" w:lineRule="atLeast"/>
        <w:ind w:left="160" w:right="0"/>
        <w:jc w:val="both"/>
        <w:textAlignment w:val="auto"/>
        <w:rPr>
          <w:sz w:val="17"/>
        </w:rPr>
      </w:pPr>
      <w:r>
        <w:rPr>
          <w:rFonts w:ascii="宋体" w:hAnsi="宋体" w:eastAsia="宋体" w:cs="宋体"/>
          <w:b w:val="0"/>
          <w:i w:val="0"/>
          <w:color w:val="000000"/>
          <w:sz w:val="17"/>
        </w:rPr>
        <w:t>29.公司在制定利润分配政策时应考虑的因素有(  )。</w:t>
      </w:r>
    </w:p>
    <w:p w14:paraId="2624CE29">
      <w:pPr>
        <w:wordWrap/>
        <w:autoSpaceDE w:val="0"/>
        <w:autoSpaceDN w:val="0"/>
        <w:spacing w:before="220" w:after="0" w:line="280" w:lineRule="atLeast"/>
        <w:ind w:left="700" w:right="0"/>
        <w:jc w:val="both"/>
        <w:textAlignment w:val="auto"/>
        <w:rPr>
          <w:sz w:val="24"/>
        </w:rPr>
      </w:pPr>
      <w:r>
        <w:rPr>
          <w:rFonts w:ascii="宋体" w:hAnsi="宋体" w:eastAsia="宋体" w:cs="宋体"/>
          <w:b w:val="0"/>
          <w:i w:val="0"/>
          <w:color w:val="000000"/>
          <w:sz w:val="17"/>
        </w:rPr>
        <w:t>A. 通货膨胀因素</w:t>
      </w:r>
      <w:r>
        <w:rPr>
          <w:rFonts w:ascii="宋体" w:hAnsi="宋体" w:eastAsia="宋体" w:cs="宋体"/>
          <w:sz w:val="24"/>
        </w:rPr>
        <w:t xml:space="preserve">     </w:t>
      </w:r>
      <w:r>
        <w:rPr>
          <w:rFonts w:ascii="宋体" w:hAnsi="宋体" w:eastAsia="宋体" w:cs="宋体"/>
          <w:b w:val="0"/>
          <w:i w:val="0"/>
          <w:color w:val="000000"/>
          <w:sz w:val="17"/>
        </w:rPr>
        <w:t>B. 股东因素</w:t>
      </w:r>
      <w:r>
        <w:rPr>
          <w:rFonts w:ascii="宋体" w:hAnsi="宋体" w:eastAsia="宋体" w:cs="宋体"/>
          <w:sz w:val="24"/>
        </w:rPr>
        <w:t xml:space="preserve">        </w:t>
      </w:r>
      <w:r>
        <w:rPr>
          <w:rFonts w:ascii="宋体" w:hAnsi="宋体" w:eastAsia="宋体" w:cs="宋体"/>
          <w:b w:val="0"/>
          <w:i w:val="0"/>
          <w:color w:val="000000"/>
          <w:sz w:val="17"/>
        </w:rPr>
        <w:t>C. 法律因素</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7"/>
        </w:rPr>
        <w:t>D. 公司因素</w:t>
      </w:r>
    </w:p>
    <w:p w14:paraId="53FC6CC8">
      <w:pPr>
        <w:wordWrap/>
        <w:autoSpaceDE w:val="0"/>
        <w:autoSpaceDN w:val="0"/>
        <w:spacing w:before="200" w:after="0" w:line="260" w:lineRule="atLeast"/>
        <w:ind w:left="160" w:right="0"/>
        <w:jc w:val="both"/>
        <w:textAlignment w:val="auto"/>
        <w:rPr>
          <w:sz w:val="17"/>
        </w:rPr>
      </w:pPr>
      <w:r>
        <w:rPr>
          <w:rFonts w:ascii="宋体" w:hAnsi="宋体" w:eastAsia="宋体" w:cs="宋体"/>
          <w:b w:val="0"/>
          <w:i w:val="0"/>
          <w:color w:val="000000"/>
          <w:sz w:val="17"/>
        </w:rPr>
        <w:t>30.在编制现金预算的过程中，可作为其编制依据的有 (  )。</w:t>
      </w:r>
    </w:p>
    <w:p w14:paraId="65BEC217">
      <w:pPr>
        <w:wordWrap/>
        <w:autoSpaceDE w:val="0"/>
        <w:autoSpaceDN w:val="0"/>
        <w:spacing w:before="200" w:after="0" w:line="280" w:lineRule="atLeast"/>
        <w:ind w:left="7020" w:right="0"/>
        <w:jc w:val="both"/>
        <w:textAlignment w:val="auto"/>
        <w:rPr>
          <w:sz w:val="24"/>
        </w:rPr>
      </w:pPr>
      <w:r>
        <w:rPr>
          <w:rFonts w:ascii="宋体" w:hAnsi="宋体" w:eastAsia="宋体" w:cs="宋体"/>
          <w:b w:val="0"/>
          <w:i w:val="0"/>
          <w:color w:val="000000"/>
          <w:sz w:val="17"/>
        </w:rPr>
        <w:t>凡师傅旗舰店</w:t>
      </w:r>
      <w:r>
        <w:rPr>
          <w:rFonts w:ascii="宋体" w:hAnsi="宋体" w:eastAsia="宋体" w:cs="宋体"/>
          <w:sz w:val="24"/>
        </w:rPr>
        <w:t xml:space="preserve"> </w:t>
      </w:r>
      <w:r>
        <w:rPr>
          <w:rFonts w:ascii="宋体" w:hAnsi="宋体" w:eastAsia="宋体" w:cs="宋体"/>
          <w:b w:val="0"/>
          <w:i w:val="0"/>
          <w:color w:val="000000"/>
          <w:sz w:val="17"/>
        </w:rPr>
        <w:t>fanshifu.tmall.com</w:t>
      </w:r>
      <w:r>
        <w:br w:type="page"/>
      </w:r>
    </w:p>
    <w:p w14:paraId="0701F580">
      <w:pPr>
        <w:wordWrap/>
        <w:autoSpaceDE w:val="0"/>
        <w:autoSpaceDN w:val="0"/>
        <w:spacing w:before="660" w:after="0" w:line="280" w:lineRule="atLeast"/>
        <w:ind w:left="700" w:right="0"/>
        <w:jc w:val="both"/>
        <w:textAlignment w:val="auto"/>
        <w:rPr>
          <w:sz w:val="24"/>
        </w:rPr>
      </w:pPr>
      <w:r>
        <w:rPr>
          <w:rFonts w:ascii="宋体" w:hAnsi="宋体" w:eastAsia="宋体" w:cs="宋体"/>
          <w:b w:val="0"/>
          <w:i w:val="0"/>
          <w:color w:val="000000"/>
          <w:sz w:val="17"/>
        </w:rPr>
        <w:t>A. 日常业务预算</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7"/>
        </w:rPr>
        <w:t>B. 预计利润表</w:t>
      </w:r>
    </w:p>
    <w:p w14:paraId="0E9985F3">
      <w:pPr>
        <w:wordWrap/>
        <w:autoSpaceDE w:val="0"/>
        <w:autoSpaceDN w:val="0"/>
        <w:spacing w:before="220" w:after="0" w:line="260" w:lineRule="atLeast"/>
        <w:ind w:left="700" w:right="0"/>
        <w:jc w:val="both"/>
        <w:textAlignment w:val="auto"/>
        <w:rPr>
          <w:sz w:val="24"/>
        </w:rPr>
      </w:pPr>
      <w:r>
        <w:rPr>
          <w:rFonts w:ascii="宋体" w:hAnsi="宋体" w:eastAsia="宋体" w:cs="宋体"/>
          <w:b w:val="0"/>
          <w:i w:val="0"/>
          <w:color w:val="000000"/>
          <w:sz w:val="17"/>
        </w:rPr>
        <w:t>C. 预计资产负债表</w:t>
      </w:r>
      <w:r>
        <w:rPr>
          <w:rFonts w:ascii="宋体" w:hAnsi="宋体" w:eastAsia="宋体" w:cs="宋体"/>
          <w:sz w:val="24"/>
        </w:rPr>
        <w:t xml:space="preserve">                   </w:t>
      </w:r>
      <w:r>
        <w:rPr>
          <w:rFonts w:ascii="宋体" w:hAnsi="宋体" w:eastAsia="宋体" w:cs="宋体"/>
          <w:b w:val="0"/>
          <w:i w:val="0"/>
          <w:color w:val="000000"/>
          <w:sz w:val="17"/>
        </w:rPr>
        <w:t>D. 特种决策预算</w:t>
      </w:r>
    </w:p>
    <w:p w14:paraId="2E237B86">
      <w:pPr>
        <w:wordWrap/>
        <w:autoSpaceDE w:val="0"/>
        <w:autoSpaceDN w:val="0"/>
        <w:spacing w:before="220" w:after="0" w:line="260" w:lineRule="atLeast"/>
        <w:ind w:left="180" w:right="0"/>
        <w:jc w:val="both"/>
        <w:textAlignment w:val="auto"/>
        <w:rPr>
          <w:sz w:val="17"/>
        </w:rPr>
      </w:pPr>
      <w:r>
        <w:rPr>
          <w:rFonts w:ascii="宋体" w:hAnsi="宋体" w:eastAsia="宋体" w:cs="宋体"/>
          <w:b w:val="0"/>
          <w:i w:val="0"/>
          <w:color w:val="000000"/>
          <w:sz w:val="17"/>
        </w:rPr>
        <w:t>31.下列各项中，属于财务控制要素的有 (  )。</w:t>
      </w:r>
    </w:p>
    <w:p w14:paraId="308FBF76">
      <w:pPr>
        <w:wordWrap/>
        <w:autoSpaceDE w:val="0"/>
        <w:autoSpaceDN w:val="0"/>
        <w:spacing w:before="160" w:after="0" w:line="280" w:lineRule="atLeast"/>
        <w:ind w:left="700" w:right="0"/>
        <w:jc w:val="both"/>
        <w:textAlignment w:val="auto"/>
        <w:rPr>
          <w:sz w:val="24"/>
        </w:rPr>
      </w:pPr>
      <w:r>
        <w:rPr>
          <w:rFonts w:ascii="宋体" w:hAnsi="宋体" w:eastAsia="宋体" w:cs="宋体"/>
          <w:b w:val="0"/>
          <w:i w:val="0"/>
          <w:color w:val="000000"/>
          <w:sz w:val="17"/>
        </w:rPr>
        <w:t>A. 目标设定</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7"/>
        </w:rPr>
        <w:t>B. 风险评估</w:t>
      </w:r>
      <w:r>
        <w:rPr>
          <w:rFonts w:ascii="宋体" w:hAnsi="宋体" w:eastAsia="宋体" w:cs="宋体"/>
          <w:sz w:val="24"/>
        </w:rPr>
        <w:t xml:space="preserve">        </w:t>
      </w:r>
      <w:r>
        <w:rPr>
          <w:rFonts w:ascii="宋体" w:hAnsi="宋体" w:eastAsia="宋体" w:cs="宋体"/>
          <w:b w:val="0"/>
          <w:i w:val="0"/>
          <w:color w:val="000000"/>
          <w:sz w:val="17"/>
        </w:rPr>
        <w:t>C. 监控</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7"/>
        </w:rPr>
        <w:t>D. 风险应对</w:t>
      </w:r>
    </w:p>
    <w:p w14:paraId="75EF500B">
      <w:pPr>
        <w:wordWrap/>
        <w:autoSpaceDE w:val="0"/>
        <w:autoSpaceDN w:val="0"/>
        <w:spacing w:before="200" w:after="0" w:line="260" w:lineRule="atLeast"/>
        <w:ind w:left="180" w:right="0"/>
        <w:jc w:val="both"/>
        <w:textAlignment w:val="auto"/>
        <w:rPr>
          <w:sz w:val="17"/>
        </w:rPr>
      </w:pPr>
      <w:r>
        <w:rPr>
          <w:rFonts w:ascii="宋体" w:hAnsi="宋体" w:eastAsia="宋体" w:cs="宋体"/>
          <w:b w:val="0"/>
          <w:i w:val="0"/>
          <w:color w:val="000000"/>
          <w:sz w:val="17"/>
        </w:rPr>
        <w:t>32.下列各项中，与净资产收益率密切相关的有 (  )。</w:t>
      </w:r>
    </w:p>
    <w:p w14:paraId="36FAE75E">
      <w:pPr>
        <w:wordWrap/>
        <w:autoSpaceDE w:val="0"/>
        <w:autoSpaceDN w:val="0"/>
        <w:spacing w:before="220" w:after="0" w:line="280" w:lineRule="atLeast"/>
        <w:ind w:left="700" w:right="0"/>
        <w:jc w:val="both"/>
        <w:textAlignment w:val="auto"/>
        <w:rPr>
          <w:sz w:val="24"/>
        </w:rPr>
      </w:pPr>
      <w:r>
        <w:rPr>
          <w:rFonts w:ascii="宋体" w:hAnsi="宋体" w:eastAsia="宋体" w:cs="宋体"/>
          <w:b w:val="0"/>
          <w:i w:val="0"/>
          <w:color w:val="000000"/>
          <w:sz w:val="17"/>
        </w:rPr>
        <w:t>A. 主营业务净利率</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7"/>
        </w:rPr>
        <w:t>B. 总资产周转率</w:t>
      </w:r>
    </w:p>
    <w:p w14:paraId="723B5D5D">
      <w:pPr>
        <w:wordWrap/>
        <w:autoSpaceDE w:val="0"/>
        <w:autoSpaceDN w:val="0"/>
        <w:spacing w:before="180" w:after="0" w:line="260" w:lineRule="atLeast"/>
        <w:ind w:left="700" w:right="0"/>
        <w:jc w:val="both"/>
        <w:textAlignment w:val="auto"/>
        <w:rPr>
          <w:sz w:val="24"/>
        </w:rPr>
      </w:pPr>
      <w:r>
        <w:rPr>
          <w:rFonts w:ascii="宋体" w:hAnsi="宋体" w:eastAsia="宋体" w:cs="宋体"/>
          <w:b w:val="0"/>
          <w:i w:val="0"/>
          <w:color w:val="000000"/>
          <w:sz w:val="17"/>
        </w:rPr>
        <w:t>C. 总资产增长率</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7"/>
        </w:rPr>
        <w:t>D. 权益乘数</w:t>
      </w:r>
    </w:p>
    <w:p w14:paraId="7025482B">
      <w:pPr>
        <w:wordWrap/>
        <w:autoSpaceDE w:val="0"/>
        <w:autoSpaceDN w:val="0"/>
        <w:spacing w:before="220" w:after="0" w:line="260" w:lineRule="atLeast"/>
        <w:ind w:left="180" w:right="0"/>
        <w:jc w:val="both"/>
        <w:textAlignment w:val="auto"/>
        <w:rPr>
          <w:sz w:val="17"/>
        </w:rPr>
      </w:pPr>
      <w:r>
        <w:rPr>
          <w:rFonts w:ascii="宋体" w:hAnsi="宋体" w:eastAsia="宋体" w:cs="宋体"/>
          <w:b w:val="0"/>
          <w:i w:val="0"/>
          <w:color w:val="000000"/>
          <w:sz w:val="17"/>
        </w:rPr>
        <w:t>33.下列项目中，属于转移风险对策的有 (  )。</w:t>
      </w:r>
    </w:p>
    <w:p w14:paraId="0A659B7A">
      <w:pPr>
        <w:wordWrap/>
        <w:autoSpaceDE w:val="0"/>
        <w:autoSpaceDN w:val="0"/>
        <w:spacing w:before="200" w:after="0" w:line="280" w:lineRule="atLeast"/>
        <w:ind w:left="700" w:right="0"/>
        <w:jc w:val="both"/>
        <w:textAlignment w:val="auto"/>
        <w:rPr>
          <w:sz w:val="24"/>
        </w:rPr>
      </w:pPr>
      <w:r>
        <w:rPr>
          <w:rFonts w:ascii="宋体" w:hAnsi="宋体" w:eastAsia="宋体" w:cs="宋体"/>
          <w:b w:val="0"/>
          <w:i w:val="0"/>
          <w:color w:val="000000"/>
          <w:sz w:val="17"/>
        </w:rPr>
        <w:t>A. 进行准确的预测</w:t>
      </w:r>
      <w:r>
        <w:rPr>
          <w:rFonts w:ascii="宋体" w:hAnsi="宋体" w:eastAsia="宋体" w:cs="宋体"/>
          <w:sz w:val="24"/>
        </w:rPr>
        <w:t xml:space="preserve">                   </w:t>
      </w:r>
      <w:r>
        <w:rPr>
          <w:rFonts w:ascii="宋体" w:hAnsi="宋体" w:eastAsia="宋体" w:cs="宋体"/>
          <w:b w:val="0"/>
          <w:i w:val="0"/>
          <w:color w:val="000000"/>
          <w:sz w:val="17"/>
        </w:rPr>
        <w:t>B. 向保险公司投保</w:t>
      </w:r>
    </w:p>
    <w:p w14:paraId="56EA1CE2">
      <w:pPr>
        <w:wordWrap/>
        <w:autoSpaceDE w:val="0"/>
        <w:autoSpaceDN w:val="0"/>
        <w:spacing w:before="160" w:after="0" w:line="300" w:lineRule="atLeast"/>
        <w:ind w:left="700" w:right="0"/>
        <w:jc w:val="both"/>
        <w:textAlignment w:val="auto"/>
        <w:rPr>
          <w:sz w:val="24"/>
        </w:rPr>
      </w:pPr>
      <w:r>
        <w:rPr>
          <w:rFonts w:ascii="宋体" w:hAnsi="宋体" w:eastAsia="宋体" w:cs="宋体"/>
          <w:b w:val="0"/>
          <w:i w:val="0"/>
          <w:color w:val="000000"/>
          <w:sz w:val="17"/>
        </w:rPr>
        <w:t>C. 租赁经营</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7"/>
        </w:rPr>
        <w:t>D. 业务外包</w:t>
      </w:r>
    </w:p>
    <w:p w14:paraId="260195B3">
      <w:pPr>
        <w:wordWrap/>
        <w:autoSpaceDE w:val="0"/>
        <w:autoSpaceDN w:val="0"/>
        <w:spacing w:before="180" w:after="0" w:line="260" w:lineRule="atLeast"/>
        <w:ind w:left="180" w:right="0"/>
        <w:jc w:val="both"/>
        <w:textAlignment w:val="auto"/>
        <w:rPr>
          <w:sz w:val="17"/>
        </w:rPr>
      </w:pPr>
      <w:r>
        <w:rPr>
          <w:rFonts w:ascii="宋体" w:hAnsi="宋体" w:eastAsia="宋体" w:cs="宋体"/>
          <w:b w:val="0"/>
          <w:i w:val="0"/>
          <w:color w:val="000000"/>
          <w:sz w:val="17"/>
        </w:rPr>
        <w:t>34.下列各项中，属于认股权证基本要素的有 (  )。</w:t>
      </w:r>
    </w:p>
    <w:p w14:paraId="6588500F">
      <w:pPr>
        <w:wordWrap/>
        <w:autoSpaceDE w:val="0"/>
        <w:autoSpaceDN w:val="0"/>
        <w:spacing w:before="240" w:after="0" w:line="260" w:lineRule="atLeast"/>
        <w:ind w:left="700" w:right="0"/>
        <w:jc w:val="both"/>
        <w:textAlignment w:val="auto"/>
        <w:rPr>
          <w:sz w:val="24"/>
        </w:rPr>
      </w:pPr>
      <w:r>
        <w:rPr>
          <w:rFonts w:ascii="宋体" w:hAnsi="宋体" w:eastAsia="宋体" w:cs="宋体"/>
          <w:b w:val="0"/>
          <w:i w:val="0"/>
          <w:color w:val="000000"/>
          <w:sz w:val="17"/>
        </w:rPr>
        <w:t>A. 认购数量</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7"/>
        </w:rPr>
        <w:t>B. 赎回条款</w:t>
      </w:r>
      <w:r>
        <w:rPr>
          <w:rFonts w:ascii="宋体" w:hAnsi="宋体" w:eastAsia="宋体" w:cs="宋体"/>
          <w:sz w:val="24"/>
        </w:rPr>
        <w:t xml:space="preserve">        </w:t>
      </w:r>
      <w:r>
        <w:rPr>
          <w:rFonts w:ascii="宋体" w:hAnsi="宋体" w:eastAsia="宋体" w:cs="宋体"/>
          <w:b w:val="0"/>
          <w:i w:val="0"/>
          <w:color w:val="000000"/>
          <w:sz w:val="17"/>
        </w:rPr>
        <w:t>C. 认购期限</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7"/>
        </w:rPr>
        <w:t>D. 认购价格</w:t>
      </w:r>
    </w:p>
    <w:p w14:paraId="25878F13">
      <w:pPr>
        <w:wordWrap/>
        <w:autoSpaceDE w:val="0"/>
        <w:autoSpaceDN w:val="0"/>
        <w:spacing w:before="200" w:after="0" w:line="260" w:lineRule="atLeast"/>
        <w:ind w:left="180" w:right="0"/>
        <w:jc w:val="both"/>
        <w:textAlignment w:val="auto"/>
        <w:rPr>
          <w:sz w:val="17"/>
        </w:rPr>
      </w:pPr>
      <w:r>
        <w:rPr>
          <w:rFonts w:ascii="宋体" w:hAnsi="宋体" w:eastAsia="宋体" w:cs="宋体"/>
          <w:b w:val="0"/>
          <w:i w:val="0"/>
          <w:color w:val="000000"/>
          <w:sz w:val="17"/>
        </w:rPr>
        <w:t>35.下列项目中，可导致投资风险产生的原因有 (  )。</w:t>
      </w:r>
    </w:p>
    <w:p w14:paraId="4B89BC1E">
      <w:pPr>
        <w:wordWrap/>
        <w:autoSpaceDE w:val="0"/>
        <w:autoSpaceDN w:val="0"/>
        <w:spacing w:before="180" w:after="0" w:line="280" w:lineRule="atLeast"/>
        <w:ind w:left="700" w:right="0"/>
        <w:jc w:val="both"/>
        <w:textAlignment w:val="auto"/>
        <w:rPr>
          <w:sz w:val="24"/>
        </w:rPr>
      </w:pPr>
      <w:r>
        <w:rPr>
          <w:rFonts w:ascii="宋体" w:hAnsi="宋体" w:eastAsia="宋体" w:cs="宋体"/>
          <w:b w:val="0"/>
          <w:i w:val="0"/>
          <w:color w:val="000000"/>
          <w:sz w:val="17"/>
        </w:rPr>
        <w:t>A. 投资成本的不确定性</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7"/>
        </w:rPr>
        <w:t>B. 投资收益的不确定性</w:t>
      </w:r>
    </w:p>
    <w:p w14:paraId="4B0244EC">
      <w:pPr>
        <w:wordWrap/>
        <w:autoSpaceDE w:val="0"/>
        <w:autoSpaceDN w:val="0"/>
        <w:spacing w:before="200" w:after="0" w:line="280" w:lineRule="atLeast"/>
        <w:ind w:left="700" w:right="0"/>
        <w:jc w:val="both"/>
        <w:textAlignment w:val="auto"/>
        <w:rPr>
          <w:sz w:val="24"/>
        </w:rPr>
      </w:pPr>
      <w:r>
        <w:rPr>
          <w:rFonts w:ascii="宋体" w:hAnsi="宋体" w:eastAsia="宋体" w:cs="宋体"/>
          <w:b w:val="0"/>
          <w:i w:val="0"/>
          <w:color w:val="000000"/>
          <w:sz w:val="17"/>
        </w:rPr>
        <w:t>C. 投资决策的失误</w:t>
      </w:r>
      <w:r>
        <w:rPr>
          <w:rFonts w:ascii="宋体" w:hAnsi="宋体" w:eastAsia="宋体" w:cs="宋体"/>
          <w:sz w:val="24"/>
        </w:rPr>
        <w:t xml:space="preserve">                   </w:t>
      </w:r>
      <w:r>
        <w:rPr>
          <w:rFonts w:ascii="宋体" w:hAnsi="宋体" w:eastAsia="宋体" w:cs="宋体"/>
          <w:b w:val="0"/>
          <w:i w:val="0"/>
          <w:color w:val="000000"/>
          <w:sz w:val="17"/>
        </w:rPr>
        <w:t>D. 自然灾害</w:t>
      </w:r>
    </w:p>
    <w:p w14:paraId="511D5080">
      <w:pPr>
        <w:wordWrap/>
        <w:autoSpaceDE w:val="0"/>
        <w:autoSpaceDN w:val="0"/>
        <w:spacing w:before="180" w:after="0" w:line="240" w:lineRule="atLeast"/>
        <w:ind w:left="4440" w:right="0"/>
        <w:jc w:val="both"/>
        <w:textAlignment w:val="auto"/>
        <w:rPr>
          <w:sz w:val="14"/>
        </w:rPr>
      </w:pPr>
      <w:r>
        <w:rPr>
          <w:rFonts w:ascii="宋体" w:hAnsi="宋体" w:eastAsia="宋体" w:cs="宋体"/>
          <w:b w:val="0"/>
          <w:i w:val="0"/>
          <w:color w:val="000000"/>
          <w:sz w:val="14"/>
        </w:rPr>
        <w:t>三、判断题</w:t>
      </w:r>
    </w:p>
    <w:p w14:paraId="6F29D78B">
      <w:pPr>
        <w:wordWrap/>
        <w:autoSpaceDE w:val="0"/>
        <w:autoSpaceDN w:val="0"/>
        <w:spacing w:before="40" w:after="0" w:line="460" w:lineRule="atLeast"/>
        <w:ind w:left="180" w:right="440"/>
        <w:jc w:val="both"/>
        <w:textAlignment w:val="auto"/>
        <w:rPr>
          <w:sz w:val="17"/>
        </w:rPr>
      </w:pPr>
      <w:r>
        <w:rPr>
          <w:rFonts w:ascii="宋体" w:hAnsi="宋体" w:eastAsia="宋体" w:cs="宋体"/>
          <w:b w:val="0"/>
          <w:i w:val="0"/>
          <w:color w:val="000000"/>
          <w:sz w:val="17"/>
        </w:rPr>
        <w:t>81.市场风险是指市场收益率整体变化所引起的市场上所有资产的收益率的变动性，它是影响所有资产的风险，因而不能被分散掉。(  )</w:t>
      </w:r>
    </w:p>
    <w:p w14:paraId="394A8A9E">
      <w:pPr>
        <w:wordWrap/>
        <w:autoSpaceDE w:val="0"/>
        <w:autoSpaceDN w:val="0"/>
        <w:spacing w:before="20" w:after="0" w:line="450" w:lineRule="atLeast"/>
        <w:ind w:left="180" w:right="460"/>
        <w:jc w:val="both"/>
        <w:textAlignment w:val="auto"/>
        <w:rPr>
          <w:sz w:val="17"/>
        </w:rPr>
      </w:pPr>
      <w:r>
        <w:rPr>
          <w:rFonts w:ascii="宋体" w:hAnsi="宋体" w:eastAsia="宋体" w:cs="宋体"/>
          <w:b w:val="0"/>
          <w:i w:val="0"/>
          <w:color w:val="000000"/>
          <w:sz w:val="17"/>
        </w:rPr>
        <w:t>82.在应用差额投资内部收益率法对固定资产更新改造投资项目进行决策时，如果差额内部收益率小于行业基准折现率或资金成本率，就不应当进行更新改造。(  )</w:t>
      </w:r>
    </w:p>
    <w:p w14:paraId="7E69B901">
      <w:pPr>
        <w:wordWrap/>
        <w:autoSpaceDE w:val="0"/>
        <w:autoSpaceDN w:val="0"/>
        <w:spacing w:before="220" w:after="0" w:line="260" w:lineRule="atLeast"/>
        <w:ind w:left="180" w:right="0"/>
        <w:jc w:val="both"/>
        <w:textAlignment w:val="auto"/>
        <w:rPr>
          <w:sz w:val="17"/>
        </w:rPr>
      </w:pPr>
      <w:r>
        <w:rPr>
          <w:rFonts w:ascii="宋体" w:hAnsi="宋体" w:eastAsia="宋体" w:cs="宋体"/>
          <w:b w:val="0"/>
          <w:i w:val="0"/>
          <w:color w:val="000000"/>
          <w:sz w:val="17"/>
        </w:rPr>
        <w:t>83.投资基金的收益率是通过基金净资产的价值变化来衡量的。(  )</w:t>
      </w:r>
    </w:p>
    <w:p w14:paraId="60B00FFA">
      <w:pPr>
        <w:wordWrap/>
        <w:autoSpaceDE w:val="0"/>
        <w:autoSpaceDN w:val="0"/>
        <w:spacing w:before="200" w:after="0" w:line="260" w:lineRule="atLeast"/>
        <w:ind w:left="180" w:right="0"/>
        <w:jc w:val="both"/>
        <w:textAlignment w:val="auto"/>
        <w:rPr>
          <w:sz w:val="17"/>
        </w:rPr>
      </w:pPr>
      <w:r>
        <w:rPr>
          <w:rFonts w:ascii="宋体" w:hAnsi="宋体" w:eastAsia="宋体" w:cs="宋体"/>
          <w:b w:val="0"/>
          <w:i w:val="0"/>
          <w:color w:val="000000"/>
          <w:sz w:val="17"/>
        </w:rPr>
        <w:t>84.股票分割不仅有利于促进股票流通和交易，而且还助于公司并购政策的实施。(  )</w:t>
      </w:r>
    </w:p>
    <w:p w14:paraId="405F3E05">
      <w:pPr>
        <w:wordWrap/>
        <w:autoSpaceDE w:val="0"/>
        <w:autoSpaceDN w:val="0"/>
        <w:spacing w:before="20" w:after="0" w:line="440" w:lineRule="atLeast"/>
        <w:ind w:left="180" w:right="440"/>
        <w:jc w:val="both"/>
        <w:textAlignment w:val="auto"/>
        <w:rPr>
          <w:sz w:val="17"/>
        </w:rPr>
      </w:pPr>
      <w:r>
        <w:rPr>
          <w:rFonts w:ascii="宋体" w:hAnsi="宋体" w:eastAsia="宋体" w:cs="宋体"/>
          <w:b w:val="0"/>
          <w:i w:val="0"/>
          <w:color w:val="000000"/>
          <w:sz w:val="17"/>
        </w:rPr>
        <w:t>85.特种决策预算包括经营决策预算和投资决策预算，一般情况下，特种决策预算的数据要纳入日常业务预算和现金预算。(  )</w:t>
      </w:r>
    </w:p>
    <w:p w14:paraId="4003830B">
      <w:pPr>
        <w:wordWrap/>
        <w:autoSpaceDE w:val="0"/>
        <w:autoSpaceDN w:val="0"/>
        <w:spacing w:before="20" w:after="0" w:line="440" w:lineRule="atLeast"/>
        <w:ind w:left="180" w:right="440"/>
        <w:jc w:val="both"/>
        <w:textAlignment w:val="auto"/>
        <w:rPr>
          <w:sz w:val="17"/>
        </w:rPr>
      </w:pPr>
      <w:r>
        <w:rPr>
          <w:rFonts w:ascii="宋体" w:hAnsi="宋体" w:eastAsia="宋体" w:cs="宋体"/>
          <w:b w:val="0"/>
          <w:i w:val="0"/>
          <w:color w:val="000000"/>
          <w:sz w:val="17"/>
        </w:rPr>
        <w:t>86.为了划定各责任中心的成本责任，使不应承担损失的责任中心在经济上得到合理补偿，必须进行责任转账。(  )</w:t>
      </w:r>
    </w:p>
    <w:p w14:paraId="7F1B9321">
      <w:pPr>
        <w:wordWrap/>
        <w:autoSpaceDE w:val="0"/>
        <w:autoSpaceDN w:val="0"/>
        <w:spacing w:before="220" w:after="0" w:line="260" w:lineRule="atLeast"/>
        <w:ind w:left="180" w:right="0"/>
        <w:jc w:val="both"/>
        <w:textAlignment w:val="auto"/>
        <w:rPr>
          <w:sz w:val="17"/>
        </w:rPr>
      </w:pPr>
      <w:r>
        <w:rPr>
          <w:rFonts w:ascii="宋体" w:hAnsi="宋体" w:eastAsia="宋体" w:cs="宋体"/>
          <w:b w:val="0"/>
          <w:i w:val="0"/>
          <w:color w:val="000000"/>
          <w:sz w:val="17"/>
        </w:rPr>
        <w:t>87.市盈率是评价上市公司盈利能力的指标，它反映投资者愿意对公司每股净利润支付的价格。(  )</w:t>
      </w:r>
    </w:p>
    <w:p w14:paraId="24C23404">
      <w:pPr>
        <w:wordWrap/>
        <w:autoSpaceDE w:val="0"/>
        <w:autoSpaceDN w:val="0"/>
        <w:spacing w:before="180" w:after="0" w:line="260" w:lineRule="atLeast"/>
        <w:ind w:left="180" w:right="0"/>
        <w:jc w:val="both"/>
        <w:textAlignment w:val="auto"/>
        <w:rPr>
          <w:sz w:val="17"/>
        </w:rPr>
      </w:pPr>
      <w:r>
        <w:rPr>
          <w:rFonts w:ascii="宋体" w:hAnsi="宋体" w:eastAsia="宋体" w:cs="宋体"/>
          <w:b w:val="0"/>
          <w:i w:val="0"/>
          <w:color w:val="000000"/>
          <w:sz w:val="17"/>
        </w:rPr>
        <w:t>88.对可能给企业带来灾难性损失的项目，企业应主动采取合资、联营和联合开发等措施，以规避风险。(  )</w:t>
      </w:r>
    </w:p>
    <w:p w14:paraId="1BE8A9E5">
      <w:pPr>
        <w:wordWrap/>
        <w:autoSpaceDE w:val="0"/>
        <w:autoSpaceDN w:val="0"/>
        <w:spacing w:before="220" w:after="0" w:line="260" w:lineRule="atLeast"/>
        <w:ind w:left="180" w:right="0"/>
        <w:jc w:val="both"/>
        <w:textAlignment w:val="auto"/>
        <w:rPr>
          <w:sz w:val="17"/>
        </w:rPr>
      </w:pPr>
      <w:r>
        <w:rPr>
          <w:rFonts w:ascii="宋体" w:hAnsi="宋体" w:eastAsia="宋体" w:cs="宋体"/>
          <w:b w:val="0"/>
          <w:i w:val="0"/>
          <w:color w:val="000000"/>
          <w:sz w:val="17"/>
        </w:rPr>
        <w:t>89.杠杆收购筹资会使筹资企业的财务杠杆比率有所降低。(  )</w:t>
      </w:r>
    </w:p>
    <w:p w14:paraId="48DA6373">
      <w:pPr>
        <w:wordWrap/>
        <w:autoSpaceDE w:val="0"/>
        <w:autoSpaceDN w:val="0"/>
        <w:spacing w:before="240" w:after="0" w:line="260" w:lineRule="atLeast"/>
        <w:ind w:left="180" w:right="0"/>
        <w:jc w:val="both"/>
        <w:textAlignment w:val="auto"/>
        <w:rPr>
          <w:sz w:val="17"/>
        </w:rPr>
      </w:pPr>
      <w:r>
        <w:rPr>
          <w:rFonts w:ascii="宋体" w:hAnsi="宋体" w:eastAsia="宋体" w:cs="宋体"/>
          <w:b w:val="0"/>
          <w:i w:val="0"/>
          <w:color w:val="000000"/>
          <w:sz w:val="17"/>
        </w:rPr>
        <w:t>90.从成熟的证券市场来看，企业筹资的优序模式首先是内部筹资，其次是增发股票，发行债券和可转换</w:t>
      </w:r>
      <w:r>
        <w:br w:type="page"/>
      </w:r>
    </w:p>
    <w:p w14:paraId="76FF7D49">
      <w:pPr>
        <w:wordWrap/>
        <w:autoSpaceDE w:val="0"/>
        <w:autoSpaceDN w:val="0"/>
        <w:spacing w:before="660" w:after="0" w:line="280" w:lineRule="atLeast"/>
        <w:ind w:left="760" w:right="0"/>
        <w:jc w:val="both"/>
        <w:textAlignment w:val="auto"/>
        <w:rPr>
          <w:sz w:val="17"/>
        </w:rPr>
      </w:pPr>
      <w:r>
        <w:rPr>
          <w:rFonts w:ascii="宋体" w:hAnsi="宋体" w:eastAsia="宋体" w:cs="宋体"/>
          <w:b w:val="0"/>
          <w:i w:val="0"/>
          <w:color w:val="000000"/>
          <w:sz w:val="17"/>
        </w:rPr>
        <w:t>债券，最后是银行借款。(  )</w:t>
      </w:r>
    </w:p>
    <w:p w14:paraId="71EA46D7">
      <w:pPr>
        <w:wordWrap/>
        <w:autoSpaceDE w:val="0"/>
        <w:autoSpaceDN w:val="0"/>
        <w:spacing w:before="220" w:after="0" w:line="260" w:lineRule="atLeast"/>
        <w:ind w:left="4440" w:right="0"/>
        <w:jc w:val="both"/>
        <w:textAlignment w:val="auto"/>
        <w:rPr>
          <w:sz w:val="16"/>
        </w:rPr>
      </w:pPr>
      <w:r>
        <w:rPr>
          <w:rFonts w:ascii="宋体" w:hAnsi="宋体" w:eastAsia="宋体" w:cs="宋体"/>
          <w:b w:val="0"/>
          <w:i w:val="0"/>
          <w:color w:val="000000"/>
          <w:sz w:val="16"/>
        </w:rPr>
        <w:t>四、计算题</w:t>
      </w:r>
    </w:p>
    <w:p w14:paraId="18C7F978">
      <w:pPr>
        <w:wordWrap/>
        <w:autoSpaceDE w:val="0"/>
        <w:autoSpaceDN w:val="0"/>
        <w:spacing w:before="20" w:after="0" w:line="440" w:lineRule="atLeast"/>
        <w:ind w:left="240" w:right="440" w:firstLine="40"/>
        <w:jc w:val="both"/>
        <w:textAlignment w:val="auto"/>
        <w:rPr>
          <w:sz w:val="17"/>
        </w:rPr>
      </w:pPr>
      <w:r>
        <w:rPr>
          <w:rFonts w:ascii="宋体" w:hAnsi="宋体" w:eastAsia="宋体" w:cs="宋体"/>
          <w:b w:val="0"/>
          <w:i w:val="0"/>
          <w:color w:val="000000"/>
          <w:sz w:val="17"/>
        </w:rPr>
        <w:t>1.某企业拟采用融资租赁方式于 2006年1月1日从租赁公司租入一台设备，设备款为50000元，租期为5年，到期后设备归企业所有。双方商定，如果采取后付等额租金方式付款，则折现率为16%；如果采取先付等额租金方式付款，则折现率为14%。企业的资金成本率为10%。</w:t>
      </w:r>
    </w:p>
    <w:p w14:paraId="2EFA1D4E">
      <w:pPr>
        <w:wordWrap/>
        <w:autoSpaceDE w:val="0"/>
        <w:autoSpaceDN w:val="0"/>
        <w:spacing w:before="220" w:after="0" w:line="280" w:lineRule="atLeast"/>
        <w:ind w:left="280" w:right="0"/>
        <w:jc w:val="both"/>
        <w:textAlignment w:val="auto"/>
        <w:rPr>
          <w:sz w:val="17"/>
        </w:rPr>
      </w:pPr>
      <w:r>
        <w:rPr>
          <w:rFonts w:ascii="宋体" w:hAnsi="宋体" w:eastAsia="宋体" w:cs="宋体"/>
          <w:b w:val="0"/>
          <w:i w:val="0"/>
          <w:color w:val="000000"/>
          <w:sz w:val="17"/>
        </w:rPr>
        <w:t>部分资金时间价值系数如下：</w:t>
      </w:r>
    </w:p>
    <w:p w14:paraId="029BDE58">
      <w:pPr>
        <w:wordWrap/>
        <w:spacing w:before="0" w:after="0" w:line="180" w:lineRule="exact"/>
        <w:ind w:left="0" w:right="0"/>
        <w:textAlignment w:val="auto"/>
      </w:pPr>
    </w:p>
    <w:tbl>
      <w:tblPr>
        <w:tblStyle w:val="2"/>
        <w:tblW w:w="0" w:type="auto"/>
        <w:tblInd w:w="30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2100"/>
        <w:gridCol w:w="2160"/>
        <w:gridCol w:w="2200"/>
        <w:gridCol w:w="2060"/>
      </w:tblGrid>
      <w:tr w14:paraId="08CADDA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00" w:hRule="atLeast"/>
        </w:trPr>
        <w:tc>
          <w:tcPr>
            <w:tcW w:w="2100" w:type="dxa"/>
            <w:vAlign w:val="center"/>
          </w:tcPr>
          <w:p w14:paraId="28A53980">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t</w:t>
            </w:r>
          </w:p>
        </w:tc>
        <w:tc>
          <w:tcPr>
            <w:tcW w:w="2160" w:type="dxa"/>
            <w:vAlign w:val="center"/>
          </w:tcPr>
          <w:p w14:paraId="06146B06">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10%</w:t>
            </w:r>
          </w:p>
        </w:tc>
        <w:tc>
          <w:tcPr>
            <w:tcW w:w="2200" w:type="dxa"/>
            <w:vAlign w:val="center"/>
          </w:tcPr>
          <w:p w14:paraId="6E613DEF">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14%</w:t>
            </w:r>
          </w:p>
        </w:tc>
        <w:tc>
          <w:tcPr>
            <w:tcW w:w="2060" w:type="dxa"/>
            <w:vAlign w:val="center"/>
          </w:tcPr>
          <w:p w14:paraId="408396CA">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16%</w:t>
            </w:r>
          </w:p>
        </w:tc>
      </w:tr>
      <w:tr w14:paraId="5FA2A63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60" w:hRule="atLeast"/>
        </w:trPr>
        <w:tc>
          <w:tcPr>
            <w:tcW w:w="2100" w:type="dxa"/>
            <w:vAlign w:val="center"/>
          </w:tcPr>
          <w:p w14:paraId="049230A8">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(F/A, i, 4)</w:t>
            </w:r>
          </w:p>
        </w:tc>
        <w:tc>
          <w:tcPr>
            <w:tcW w:w="2160" w:type="dxa"/>
            <w:vAlign w:val="center"/>
          </w:tcPr>
          <w:p w14:paraId="56214815">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4.6410</w:t>
            </w:r>
          </w:p>
        </w:tc>
        <w:tc>
          <w:tcPr>
            <w:tcW w:w="2200" w:type="dxa"/>
            <w:vAlign w:val="center"/>
          </w:tcPr>
          <w:p w14:paraId="70C7A354">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4.9211</w:t>
            </w:r>
          </w:p>
        </w:tc>
        <w:tc>
          <w:tcPr>
            <w:tcW w:w="2060" w:type="dxa"/>
            <w:vAlign w:val="center"/>
          </w:tcPr>
          <w:p w14:paraId="3BB9B3F0">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5.0665</w:t>
            </w:r>
          </w:p>
        </w:tc>
      </w:tr>
      <w:tr w14:paraId="3526537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60" w:hRule="atLeast"/>
        </w:trPr>
        <w:tc>
          <w:tcPr>
            <w:tcW w:w="2100" w:type="dxa"/>
            <w:vAlign w:val="center"/>
          </w:tcPr>
          <w:p w14:paraId="706B17CA">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(P/A,i, 4)</w:t>
            </w:r>
          </w:p>
        </w:tc>
        <w:tc>
          <w:tcPr>
            <w:tcW w:w="2160" w:type="dxa"/>
            <w:vAlign w:val="center"/>
          </w:tcPr>
          <w:p w14:paraId="6D1CD0ED">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3.1699</w:t>
            </w:r>
          </w:p>
        </w:tc>
        <w:tc>
          <w:tcPr>
            <w:tcW w:w="2200" w:type="dxa"/>
            <w:vAlign w:val="center"/>
          </w:tcPr>
          <w:p w14:paraId="4CD42DCD">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2.9137</w:t>
            </w:r>
          </w:p>
        </w:tc>
        <w:tc>
          <w:tcPr>
            <w:tcW w:w="2060" w:type="dxa"/>
            <w:vAlign w:val="center"/>
          </w:tcPr>
          <w:p w14:paraId="10C730B3">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2.7982</w:t>
            </w:r>
          </w:p>
        </w:tc>
      </w:tr>
      <w:tr w14:paraId="1C160C8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60" w:hRule="atLeast"/>
        </w:trPr>
        <w:tc>
          <w:tcPr>
            <w:tcW w:w="2100" w:type="dxa"/>
            <w:vAlign w:val="center"/>
          </w:tcPr>
          <w:p w14:paraId="763B1296">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(F/A, i,5)</w:t>
            </w:r>
          </w:p>
        </w:tc>
        <w:tc>
          <w:tcPr>
            <w:tcW w:w="2160" w:type="dxa"/>
            <w:vAlign w:val="center"/>
          </w:tcPr>
          <w:p w14:paraId="32640948">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6.1051</w:t>
            </w:r>
          </w:p>
        </w:tc>
        <w:tc>
          <w:tcPr>
            <w:tcW w:w="2200" w:type="dxa"/>
            <w:vAlign w:val="center"/>
          </w:tcPr>
          <w:p w14:paraId="2B338E1C">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6.6101</w:t>
            </w:r>
          </w:p>
        </w:tc>
        <w:tc>
          <w:tcPr>
            <w:tcW w:w="2060" w:type="dxa"/>
            <w:vAlign w:val="center"/>
          </w:tcPr>
          <w:p w14:paraId="2ABF6083">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6.8771</w:t>
            </w:r>
          </w:p>
        </w:tc>
      </w:tr>
      <w:tr w14:paraId="1666FA1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60" w:hRule="atLeast"/>
        </w:trPr>
        <w:tc>
          <w:tcPr>
            <w:tcW w:w="2100" w:type="dxa"/>
            <w:vAlign w:val="center"/>
          </w:tcPr>
          <w:p w14:paraId="030FDEA7">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(P/A, i,5)</w:t>
            </w:r>
          </w:p>
        </w:tc>
        <w:tc>
          <w:tcPr>
            <w:tcW w:w="2160" w:type="dxa"/>
            <w:vAlign w:val="center"/>
          </w:tcPr>
          <w:p w14:paraId="72A547DD">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3.7908</w:t>
            </w:r>
          </w:p>
        </w:tc>
        <w:tc>
          <w:tcPr>
            <w:tcW w:w="2200" w:type="dxa"/>
            <w:vAlign w:val="center"/>
          </w:tcPr>
          <w:p w14:paraId="03991D4B">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3.4331</w:t>
            </w:r>
          </w:p>
        </w:tc>
        <w:tc>
          <w:tcPr>
            <w:tcW w:w="2060" w:type="dxa"/>
            <w:vAlign w:val="center"/>
          </w:tcPr>
          <w:p w14:paraId="06BB1B8F">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3.2743</w:t>
            </w:r>
          </w:p>
        </w:tc>
      </w:tr>
      <w:tr w14:paraId="7E2174A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60" w:hRule="atLeast"/>
        </w:trPr>
        <w:tc>
          <w:tcPr>
            <w:tcW w:w="2100" w:type="dxa"/>
            <w:vAlign w:val="center"/>
          </w:tcPr>
          <w:p w14:paraId="4C631477">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(F/A, i,6)</w:t>
            </w:r>
          </w:p>
        </w:tc>
        <w:tc>
          <w:tcPr>
            <w:tcW w:w="2160" w:type="dxa"/>
            <w:vAlign w:val="center"/>
          </w:tcPr>
          <w:p w14:paraId="3B5408C2">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7.7156</w:t>
            </w:r>
          </w:p>
        </w:tc>
        <w:tc>
          <w:tcPr>
            <w:tcW w:w="2200" w:type="dxa"/>
            <w:vAlign w:val="center"/>
          </w:tcPr>
          <w:p w14:paraId="3C654D5C">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8.5355</w:t>
            </w:r>
          </w:p>
        </w:tc>
        <w:tc>
          <w:tcPr>
            <w:tcW w:w="2060" w:type="dxa"/>
            <w:vAlign w:val="center"/>
          </w:tcPr>
          <w:p w14:paraId="37A52456">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8.9775</w:t>
            </w:r>
          </w:p>
        </w:tc>
      </w:tr>
      <w:tr w14:paraId="35CA889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60" w:hRule="atLeast"/>
        </w:trPr>
        <w:tc>
          <w:tcPr>
            <w:tcW w:w="2100" w:type="dxa"/>
            <w:vAlign w:val="center"/>
          </w:tcPr>
          <w:p w14:paraId="39076001">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(P/A, i,6)</w:t>
            </w:r>
          </w:p>
        </w:tc>
        <w:tc>
          <w:tcPr>
            <w:tcW w:w="2160" w:type="dxa"/>
            <w:vAlign w:val="center"/>
          </w:tcPr>
          <w:p w14:paraId="62CF712E">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4.3533</w:t>
            </w:r>
          </w:p>
        </w:tc>
        <w:tc>
          <w:tcPr>
            <w:tcW w:w="2200" w:type="dxa"/>
            <w:vAlign w:val="center"/>
          </w:tcPr>
          <w:p w14:paraId="7BE8DCC9">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3.8887</w:t>
            </w:r>
          </w:p>
        </w:tc>
        <w:tc>
          <w:tcPr>
            <w:tcW w:w="2060" w:type="dxa"/>
            <w:vAlign w:val="center"/>
          </w:tcPr>
          <w:p w14:paraId="1CCBB918">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3.6847</w:t>
            </w:r>
          </w:p>
        </w:tc>
      </w:tr>
    </w:tbl>
    <w:p w14:paraId="716E2B96">
      <w:pPr>
        <w:wordWrap/>
        <w:autoSpaceDE w:val="0"/>
        <w:autoSpaceDN w:val="0"/>
        <w:spacing w:before="80" w:after="0" w:line="260" w:lineRule="atLeast"/>
        <w:ind w:left="760" w:right="0"/>
        <w:jc w:val="both"/>
        <w:textAlignment w:val="auto"/>
        <w:rPr>
          <w:sz w:val="17"/>
        </w:rPr>
      </w:pPr>
      <w:r>
        <w:rPr>
          <w:rFonts w:ascii="宋体" w:hAnsi="宋体" w:eastAsia="宋体" w:cs="宋体"/>
          <w:b w:val="0"/>
          <w:i w:val="0"/>
          <w:color w:val="000000"/>
          <w:sz w:val="17"/>
        </w:rPr>
        <w:t>要求：</w:t>
      </w:r>
    </w:p>
    <w:p w14:paraId="76175DF4">
      <w:pPr>
        <w:wordWrap/>
        <w:autoSpaceDE w:val="0"/>
        <w:autoSpaceDN w:val="0"/>
        <w:spacing w:before="220" w:after="0" w:line="260" w:lineRule="atLeast"/>
        <w:ind w:left="760" w:right="0"/>
        <w:jc w:val="both"/>
        <w:textAlignment w:val="auto"/>
        <w:rPr>
          <w:sz w:val="17"/>
        </w:rPr>
      </w:pPr>
      <w:r>
        <w:rPr>
          <w:rFonts w:ascii="宋体" w:hAnsi="宋体" w:eastAsia="宋体" w:cs="宋体"/>
          <w:b w:val="0"/>
          <w:i w:val="0"/>
          <w:color w:val="000000"/>
          <w:sz w:val="17"/>
        </w:rPr>
        <w:t>(1) 计算后付等额租金方式下的每年等额租金额。</w:t>
      </w:r>
    </w:p>
    <w:p w14:paraId="6DBB56FC">
      <w:pPr>
        <w:wordWrap/>
        <w:autoSpaceDE w:val="0"/>
        <w:autoSpaceDN w:val="0"/>
        <w:spacing w:before="180" w:after="0" w:line="260" w:lineRule="atLeast"/>
        <w:ind w:left="760" w:right="0"/>
        <w:jc w:val="both"/>
        <w:textAlignment w:val="auto"/>
        <w:rPr>
          <w:sz w:val="17"/>
        </w:rPr>
      </w:pPr>
      <w:r>
        <w:rPr>
          <w:rFonts w:ascii="宋体" w:hAnsi="宋体" w:eastAsia="宋体" w:cs="宋体"/>
          <w:b w:val="0"/>
          <w:i w:val="0"/>
          <w:color w:val="000000"/>
          <w:sz w:val="17"/>
        </w:rPr>
        <w:t>(2) 计算后付等额租金方式下的5年租金终值。</w:t>
      </w:r>
    </w:p>
    <w:p w14:paraId="195132ED">
      <w:pPr>
        <w:wordWrap/>
        <w:autoSpaceDE w:val="0"/>
        <w:autoSpaceDN w:val="0"/>
        <w:spacing w:before="200" w:after="0" w:line="260" w:lineRule="atLeast"/>
        <w:ind w:left="760" w:right="0"/>
        <w:jc w:val="both"/>
        <w:textAlignment w:val="auto"/>
        <w:rPr>
          <w:sz w:val="17"/>
        </w:rPr>
      </w:pPr>
      <w:r>
        <w:rPr>
          <w:rFonts w:ascii="宋体" w:hAnsi="宋体" w:eastAsia="宋体" w:cs="宋体"/>
          <w:b w:val="0"/>
          <w:i w:val="0"/>
          <w:color w:val="000000"/>
          <w:sz w:val="17"/>
        </w:rPr>
        <w:t>(3) 计算先付等额租金方式下的每年等额租金额。</w:t>
      </w:r>
    </w:p>
    <w:p w14:paraId="04490C90">
      <w:pPr>
        <w:wordWrap/>
        <w:autoSpaceDE w:val="0"/>
        <w:autoSpaceDN w:val="0"/>
        <w:spacing w:before="240" w:after="0" w:line="260" w:lineRule="atLeast"/>
        <w:ind w:left="760" w:right="0"/>
        <w:jc w:val="both"/>
        <w:textAlignment w:val="auto"/>
        <w:rPr>
          <w:sz w:val="17"/>
        </w:rPr>
      </w:pPr>
      <w:r>
        <w:rPr>
          <w:rFonts w:ascii="宋体" w:hAnsi="宋体" w:eastAsia="宋体" w:cs="宋体"/>
          <w:b w:val="0"/>
          <w:i w:val="0"/>
          <w:color w:val="000000"/>
          <w:sz w:val="17"/>
        </w:rPr>
        <w:t>(4) 计算先付等额租金方式下的5年租金终值。</w:t>
      </w:r>
    </w:p>
    <w:p w14:paraId="7A27D368">
      <w:pPr>
        <w:wordWrap/>
        <w:autoSpaceDE w:val="0"/>
        <w:autoSpaceDN w:val="0"/>
        <w:spacing w:before="220" w:after="0" w:line="260" w:lineRule="atLeast"/>
        <w:ind w:left="760" w:right="0"/>
        <w:jc w:val="both"/>
        <w:textAlignment w:val="auto"/>
        <w:rPr>
          <w:sz w:val="17"/>
        </w:rPr>
      </w:pPr>
      <w:r>
        <w:rPr>
          <w:rFonts w:ascii="宋体" w:hAnsi="宋体" w:eastAsia="宋体" w:cs="宋体"/>
          <w:b w:val="0"/>
          <w:i w:val="0"/>
          <w:color w:val="000000"/>
          <w:sz w:val="17"/>
        </w:rPr>
        <w:t>(5) 比较上述两种租金支付方式下的终值大小，说明哪种租金支付方式对企业更为有利。</w:t>
      </w:r>
    </w:p>
    <w:p w14:paraId="64B78D77">
      <w:pPr>
        <w:wordWrap/>
        <w:autoSpaceDE w:val="0"/>
        <w:autoSpaceDN w:val="0"/>
        <w:spacing w:before="220" w:after="0" w:line="260" w:lineRule="atLeast"/>
        <w:ind w:left="760" w:right="0"/>
        <w:jc w:val="both"/>
        <w:textAlignment w:val="auto"/>
        <w:rPr>
          <w:sz w:val="17"/>
        </w:rPr>
      </w:pPr>
      <w:r>
        <w:rPr>
          <w:rFonts w:ascii="宋体" w:hAnsi="宋体" w:eastAsia="宋体" w:cs="宋体"/>
          <w:b w:val="0"/>
          <w:i w:val="0"/>
          <w:color w:val="000000"/>
          <w:sz w:val="17"/>
        </w:rPr>
        <w:t>(以上计算结果均保留整数)</w:t>
      </w:r>
    </w:p>
    <w:p w14:paraId="0FC8D7C4">
      <w:pPr>
        <w:wordWrap/>
        <w:autoSpaceDE w:val="0"/>
        <w:autoSpaceDN w:val="0"/>
        <w:spacing w:before="3900" w:after="0" w:line="280" w:lineRule="atLeast"/>
        <w:ind w:left="280" w:right="0"/>
        <w:jc w:val="both"/>
        <w:textAlignment w:val="auto"/>
        <w:rPr>
          <w:sz w:val="17"/>
        </w:rPr>
      </w:pPr>
      <w:r>
        <w:rPr>
          <w:rFonts w:ascii="宋体" w:hAnsi="宋体" w:eastAsia="宋体" w:cs="宋体"/>
          <w:b w:val="0"/>
          <w:i w:val="0"/>
          <w:color w:val="000000"/>
          <w:sz w:val="17"/>
        </w:rPr>
        <w:t>2.某公司拟进行股票投资，计划购买A、B、C三种股票，并分别设计了甲乙两种投资组合。已知三种股</w:t>
      </w:r>
      <w:r>
        <w:br w:type="page"/>
      </w:r>
    </w:p>
    <w:p w14:paraId="34E70D37">
      <w:pPr>
        <w:wordWrap/>
        <w:autoSpaceDE w:val="0"/>
        <w:autoSpaceDN w:val="0"/>
        <w:spacing w:before="460" w:after="0" w:line="470" w:lineRule="atLeast"/>
        <w:ind w:left="260" w:right="460"/>
        <w:jc w:val="both"/>
        <w:textAlignment w:val="auto"/>
        <w:rPr>
          <w:sz w:val="18"/>
        </w:rPr>
      </w:pPr>
      <w:r>
        <w:rPr>
          <w:rFonts w:ascii="宋体" w:hAnsi="宋体" w:eastAsia="宋体" w:cs="宋体"/>
          <w:b w:val="0"/>
          <w:i w:val="0"/>
          <w:color w:val="000000"/>
          <w:sz w:val="18"/>
        </w:rPr>
        <w:t>票的β系数分别为1.5、1.0和0.5，它们在甲种投资组合下的投资比重为50%、30%和20%； 乙种投资组合的风险收益率为3.4%。同期市场上所有股票的平均收益率为12%，无风险收益率为8%。</w:t>
      </w:r>
    </w:p>
    <w:p w14:paraId="308F7ED8">
      <w:pPr>
        <w:wordWrap/>
        <w:autoSpaceDE w:val="0"/>
        <w:autoSpaceDN w:val="0"/>
        <w:spacing w:before="180" w:after="0" w:line="260" w:lineRule="atLeast"/>
        <w:ind w:left="780" w:right="0"/>
        <w:jc w:val="both"/>
        <w:textAlignment w:val="auto"/>
        <w:rPr>
          <w:sz w:val="18"/>
        </w:rPr>
      </w:pPr>
      <w:r>
        <w:rPr>
          <w:rFonts w:ascii="宋体" w:hAnsi="宋体" w:eastAsia="宋体" w:cs="宋体"/>
          <w:b w:val="0"/>
          <w:i w:val="0"/>
          <w:color w:val="000000"/>
          <w:sz w:val="18"/>
        </w:rPr>
        <w:t>要求：</w:t>
      </w:r>
    </w:p>
    <w:p w14:paraId="4201FDC5">
      <w:pPr>
        <w:wordWrap/>
        <w:autoSpaceDE w:val="0"/>
        <w:autoSpaceDN w:val="0"/>
        <w:spacing w:before="220" w:after="0" w:line="260" w:lineRule="atLeast"/>
        <w:ind w:left="780" w:right="0"/>
        <w:jc w:val="both"/>
        <w:textAlignment w:val="auto"/>
        <w:rPr>
          <w:sz w:val="18"/>
        </w:rPr>
      </w:pPr>
      <w:r>
        <w:rPr>
          <w:rFonts w:ascii="宋体" w:hAnsi="宋体" w:eastAsia="宋体" w:cs="宋体"/>
          <w:b w:val="0"/>
          <w:i w:val="0"/>
          <w:color w:val="000000"/>
          <w:sz w:val="18"/>
        </w:rPr>
        <w:t>(1)根据A、B、C股票的β系数，分别评价这三种股票相对于市场投资组合而言的投资风险大小。</w:t>
      </w:r>
    </w:p>
    <w:p w14:paraId="50AE85FC">
      <w:pPr>
        <w:wordWrap/>
        <w:autoSpaceDE w:val="0"/>
        <w:autoSpaceDN w:val="0"/>
        <w:spacing w:before="200" w:after="0" w:line="260" w:lineRule="atLeast"/>
        <w:ind w:left="780" w:right="0"/>
        <w:jc w:val="both"/>
        <w:textAlignment w:val="auto"/>
        <w:rPr>
          <w:sz w:val="18"/>
        </w:rPr>
      </w:pPr>
      <w:r>
        <w:rPr>
          <w:rFonts w:ascii="宋体" w:hAnsi="宋体" w:eastAsia="宋体" w:cs="宋体"/>
          <w:b w:val="0"/>
          <w:i w:val="0"/>
          <w:color w:val="000000"/>
          <w:sz w:val="18"/>
        </w:rPr>
        <w:t>(2) 按照资本资产定价模型计算A股票的必要收益率。</w:t>
      </w:r>
    </w:p>
    <w:p w14:paraId="58369884">
      <w:pPr>
        <w:wordWrap/>
        <w:autoSpaceDE w:val="0"/>
        <w:autoSpaceDN w:val="0"/>
        <w:spacing w:before="220" w:after="0" w:line="260" w:lineRule="atLeast"/>
        <w:ind w:left="780" w:right="0"/>
        <w:jc w:val="both"/>
        <w:textAlignment w:val="auto"/>
        <w:rPr>
          <w:sz w:val="18"/>
        </w:rPr>
      </w:pPr>
      <w:r>
        <w:rPr>
          <w:rFonts w:ascii="宋体" w:hAnsi="宋体" w:eastAsia="宋体" w:cs="宋体"/>
          <w:b w:val="0"/>
          <w:i w:val="0"/>
          <w:color w:val="000000"/>
          <w:sz w:val="18"/>
        </w:rPr>
        <w:t>(3) 计算甲种投资组合的β系数和风险收益率。</w:t>
      </w:r>
    </w:p>
    <w:p w14:paraId="60A96B97">
      <w:pPr>
        <w:wordWrap/>
        <w:autoSpaceDE w:val="0"/>
        <w:autoSpaceDN w:val="0"/>
        <w:spacing w:before="200" w:after="0" w:line="260" w:lineRule="atLeast"/>
        <w:ind w:left="780" w:right="0"/>
        <w:jc w:val="both"/>
        <w:textAlignment w:val="auto"/>
        <w:rPr>
          <w:sz w:val="18"/>
        </w:rPr>
      </w:pPr>
      <w:r>
        <w:rPr>
          <w:rFonts w:ascii="宋体" w:hAnsi="宋体" w:eastAsia="宋体" w:cs="宋体"/>
          <w:b w:val="0"/>
          <w:i w:val="0"/>
          <w:color w:val="000000"/>
          <w:sz w:val="18"/>
        </w:rPr>
        <w:t>(4) 计算乙种投资组合的β系数和必要收益率。</w:t>
      </w:r>
    </w:p>
    <w:p w14:paraId="03EAE1D7">
      <w:pPr>
        <w:wordWrap/>
        <w:autoSpaceDE w:val="0"/>
        <w:autoSpaceDN w:val="0"/>
        <w:spacing w:before="220" w:after="0" w:line="260" w:lineRule="atLeast"/>
        <w:ind w:left="780" w:right="0"/>
        <w:jc w:val="both"/>
        <w:textAlignment w:val="auto"/>
        <w:rPr>
          <w:sz w:val="18"/>
        </w:rPr>
      </w:pPr>
      <w:r>
        <w:rPr>
          <w:rFonts w:ascii="宋体" w:hAnsi="宋体" w:eastAsia="宋体" w:cs="宋体"/>
          <w:b w:val="0"/>
          <w:i w:val="0"/>
          <w:color w:val="000000"/>
          <w:sz w:val="18"/>
        </w:rPr>
        <w:t>(5) 比较甲乙两种投资组合的β系数，评价它们的投资风险大小。</w:t>
      </w:r>
    </w:p>
    <w:p w14:paraId="77837B55">
      <w:pPr>
        <w:wordWrap/>
        <w:autoSpaceDE w:val="0"/>
        <w:autoSpaceDN w:val="0"/>
        <w:spacing w:before="3320" w:after="0" w:line="440" w:lineRule="atLeast"/>
        <w:ind w:left="260" w:right="540"/>
        <w:jc w:val="both"/>
        <w:textAlignment w:val="auto"/>
        <w:rPr>
          <w:sz w:val="18"/>
        </w:rPr>
      </w:pPr>
      <w:r>
        <w:rPr>
          <w:rFonts w:ascii="宋体" w:hAnsi="宋体" w:eastAsia="宋体" w:cs="宋体"/>
          <w:b w:val="0"/>
          <w:i w:val="0"/>
          <w:color w:val="000000"/>
          <w:sz w:val="18"/>
        </w:rPr>
        <w:t>3.某企业预测2005年度销售收入净额为4500万元，现销与赊销比例为1：4，应收账款平均收账天数为60天，变动成本率为50%，企业的资金成本率为 10%。一年按360天计算。</w:t>
      </w:r>
    </w:p>
    <w:p w14:paraId="057E59B3">
      <w:pPr>
        <w:wordWrap/>
        <w:autoSpaceDE w:val="0"/>
        <w:autoSpaceDN w:val="0"/>
        <w:spacing w:before="200" w:after="0" w:line="260" w:lineRule="atLeast"/>
        <w:ind w:left="780" w:right="0"/>
        <w:jc w:val="both"/>
        <w:textAlignment w:val="auto"/>
        <w:rPr>
          <w:sz w:val="18"/>
        </w:rPr>
      </w:pPr>
      <w:r>
        <w:rPr>
          <w:rFonts w:ascii="宋体" w:hAnsi="宋体" w:eastAsia="宋体" w:cs="宋体"/>
          <w:b w:val="0"/>
          <w:i w:val="0"/>
          <w:color w:val="000000"/>
          <w:sz w:val="18"/>
        </w:rPr>
        <w:t>要求：</w:t>
      </w:r>
    </w:p>
    <w:p w14:paraId="13C5CC21">
      <w:pPr>
        <w:wordWrap/>
        <w:autoSpaceDE w:val="0"/>
        <w:autoSpaceDN w:val="0"/>
        <w:spacing w:before="200" w:after="0" w:line="260" w:lineRule="atLeast"/>
        <w:ind w:left="780" w:right="0"/>
        <w:jc w:val="both"/>
        <w:textAlignment w:val="auto"/>
        <w:rPr>
          <w:sz w:val="18"/>
        </w:rPr>
      </w:pPr>
      <w:r>
        <w:rPr>
          <w:rFonts w:ascii="宋体" w:hAnsi="宋体" w:eastAsia="宋体" w:cs="宋体"/>
          <w:b w:val="0"/>
          <w:i w:val="0"/>
          <w:color w:val="000000"/>
          <w:sz w:val="18"/>
        </w:rPr>
        <w:t>(1) 计算2005年度赊销额。</w:t>
      </w:r>
    </w:p>
    <w:p w14:paraId="4BD6F557">
      <w:pPr>
        <w:wordWrap/>
        <w:autoSpaceDE w:val="0"/>
        <w:autoSpaceDN w:val="0"/>
        <w:spacing w:before="200" w:after="0" w:line="260" w:lineRule="atLeast"/>
        <w:ind w:left="780" w:right="0"/>
        <w:jc w:val="both"/>
        <w:textAlignment w:val="auto"/>
        <w:rPr>
          <w:sz w:val="18"/>
        </w:rPr>
      </w:pPr>
      <w:r>
        <w:rPr>
          <w:rFonts w:ascii="宋体" w:hAnsi="宋体" w:eastAsia="宋体" w:cs="宋体"/>
          <w:b w:val="0"/>
          <w:i w:val="0"/>
          <w:color w:val="000000"/>
          <w:sz w:val="18"/>
        </w:rPr>
        <w:t>(2) 计算2005年度应收账款的平均余额。</w:t>
      </w:r>
    </w:p>
    <w:p w14:paraId="4978DFD1">
      <w:pPr>
        <w:wordWrap/>
        <w:autoSpaceDE w:val="0"/>
        <w:autoSpaceDN w:val="0"/>
        <w:spacing w:before="220" w:after="0" w:line="260" w:lineRule="atLeast"/>
        <w:ind w:left="780" w:right="0"/>
        <w:jc w:val="both"/>
        <w:textAlignment w:val="auto"/>
        <w:rPr>
          <w:sz w:val="18"/>
        </w:rPr>
      </w:pPr>
      <w:r>
        <w:rPr>
          <w:rFonts w:ascii="宋体" w:hAnsi="宋体" w:eastAsia="宋体" w:cs="宋体"/>
          <w:b w:val="0"/>
          <w:i w:val="0"/>
          <w:color w:val="000000"/>
          <w:sz w:val="18"/>
        </w:rPr>
        <w:t>(3) 计算2005年度维持赊销业务所需要的资金额。</w:t>
      </w:r>
    </w:p>
    <w:p w14:paraId="01482426">
      <w:pPr>
        <w:wordWrap/>
        <w:autoSpaceDE w:val="0"/>
        <w:autoSpaceDN w:val="0"/>
        <w:spacing w:before="220" w:after="0" w:line="260" w:lineRule="atLeast"/>
        <w:ind w:left="780" w:right="0"/>
        <w:jc w:val="both"/>
        <w:textAlignment w:val="auto"/>
        <w:rPr>
          <w:sz w:val="18"/>
        </w:rPr>
      </w:pPr>
      <w:r>
        <w:rPr>
          <w:rFonts w:ascii="宋体" w:hAnsi="宋体" w:eastAsia="宋体" w:cs="宋体"/>
          <w:b w:val="0"/>
          <w:i w:val="0"/>
          <w:color w:val="000000"/>
          <w:sz w:val="18"/>
        </w:rPr>
        <w:t>(4) 计算2005年度应收账款的机会成本额。</w:t>
      </w:r>
    </w:p>
    <w:p w14:paraId="75447F1F">
      <w:pPr>
        <w:wordWrap/>
        <w:autoSpaceDE w:val="0"/>
        <w:autoSpaceDN w:val="0"/>
        <w:spacing w:before="40" w:after="0" w:line="440" w:lineRule="atLeast"/>
        <w:ind w:left="700" w:right="440" w:firstLine="80"/>
        <w:jc w:val="both"/>
        <w:textAlignment w:val="auto"/>
        <w:rPr>
          <w:sz w:val="18"/>
        </w:rPr>
      </w:pPr>
      <w:r>
        <w:rPr>
          <w:rFonts w:ascii="宋体" w:hAnsi="宋体" w:eastAsia="宋体" w:cs="宋体"/>
          <w:b w:val="0"/>
          <w:i w:val="0"/>
          <w:color w:val="000000"/>
          <w:sz w:val="18"/>
        </w:rPr>
        <w:t>(5)若2005年应收账款需要控制在400万元，在其他因素不变的条件下，应收账款平均收账天数应调整为多少天?</w:t>
      </w:r>
    </w:p>
    <w:p w14:paraId="0B5FB26C">
      <w:pPr>
        <w:wordWrap/>
        <w:autoSpaceDE w:val="0"/>
        <w:autoSpaceDN w:val="0"/>
        <w:spacing w:before="2540" w:after="0" w:line="260" w:lineRule="atLeast"/>
        <w:ind w:left="260" w:right="0"/>
        <w:jc w:val="both"/>
        <w:textAlignment w:val="auto"/>
        <w:rPr>
          <w:sz w:val="18"/>
        </w:rPr>
      </w:pPr>
      <w:r>
        <w:rPr>
          <w:rFonts w:ascii="宋体" w:hAnsi="宋体" w:eastAsia="宋体" w:cs="宋体"/>
          <w:b w:val="0"/>
          <w:i w:val="0"/>
          <w:color w:val="000000"/>
          <w:sz w:val="18"/>
        </w:rPr>
        <w:t>4.某公司成立于2003年1月1日，2003年度实现的净利润为1000万元，分配现金股利550万元，提取</w:t>
      </w:r>
      <w:r>
        <w:br w:type="page"/>
      </w:r>
    </w:p>
    <w:p w14:paraId="049C490F">
      <w:pPr>
        <w:wordWrap/>
        <w:autoSpaceDE w:val="0"/>
        <w:autoSpaceDN w:val="0"/>
        <w:spacing w:before="480" w:after="0" w:line="453" w:lineRule="atLeast"/>
        <w:ind w:left="280" w:right="400"/>
        <w:jc w:val="both"/>
        <w:textAlignment w:val="auto"/>
        <w:rPr>
          <w:sz w:val="20"/>
        </w:rPr>
      </w:pPr>
      <w:r>
        <w:rPr>
          <w:rFonts w:ascii="宋体" w:hAnsi="宋体" w:eastAsia="宋体" w:cs="宋体"/>
          <w:b w:val="0"/>
          <w:i w:val="0"/>
          <w:color w:val="000000"/>
          <w:sz w:val="20"/>
        </w:rPr>
        <w:t>盈余公积450万元(所提盈余公积均已指定用途)。2004年实现的净利润为900万元(不考虑计提法定盈余公积的因素)。2005年计划增加投资，所需资金为700万元。假定公司目标资本结构为自有资金占60%, 借人资金占 40%。</w:t>
      </w:r>
    </w:p>
    <w:p w14:paraId="62D64951">
      <w:pPr>
        <w:wordWrap/>
        <w:autoSpaceDE w:val="0"/>
        <w:autoSpaceDN w:val="0"/>
        <w:spacing w:before="200" w:after="0" w:line="260" w:lineRule="atLeast"/>
        <w:ind w:left="780" w:right="0"/>
        <w:jc w:val="both"/>
        <w:textAlignment w:val="auto"/>
        <w:rPr>
          <w:sz w:val="20"/>
        </w:rPr>
      </w:pPr>
      <w:r>
        <w:rPr>
          <w:rFonts w:ascii="宋体" w:hAnsi="宋体" w:eastAsia="宋体" w:cs="宋体"/>
          <w:b w:val="0"/>
          <w:i w:val="0"/>
          <w:color w:val="000000"/>
          <w:sz w:val="20"/>
        </w:rPr>
        <w:t>要求：</w:t>
      </w:r>
    </w:p>
    <w:p w14:paraId="7B01CCE5">
      <w:pPr>
        <w:wordWrap/>
        <w:autoSpaceDE w:val="0"/>
        <w:autoSpaceDN w:val="0"/>
        <w:spacing w:before="20" w:after="0" w:line="460" w:lineRule="atLeast"/>
        <w:ind w:left="700" w:right="420" w:firstLine="80"/>
        <w:jc w:val="both"/>
        <w:textAlignment w:val="auto"/>
        <w:rPr>
          <w:sz w:val="20"/>
        </w:rPr>
      </w:pPr>
      <w:r>
        <w:rPr>
          <w:rFonts w:ascii="宋体" w:hAnsi="宋体" w:eastAsia="宋体" w:cs="宋体"/>
          <w:b w:val="0"/>
          <w:i w:val="0"/>
          <w:color w:val="000000"/>
          <w:sz w:val="20"/>
        </w:rPr>
        <w:t>(1) 在保持目标资本结构的前提下，计算2005年投资方案所需的自有资金额和需要从外部借入的资金额。</w:t>
      </w:r>
    </w:p>
    <w:p w14:paraId="451002E6">
      <w:pPr>
        <w:wordWrap/>
        <w:autoSpaceDE w:val="0"/>
        <w:autoSpaceDN w:val="0"/>
        <w:spacing w:before="20" w:after="0" w:line="450" w:lineRule="atLeast"/>
        <w:ind w:left="680" w:right="460" w:firstLine="100"/>
        <w:jc w:val="both"/>
        <w:textAlignment w:val="auto"/>
        <w:rPr>
          <w:sz w:val="20"/>
        </w:rPr>
      </w:pPr>
      <w:r>
        <w:rPr>
          <w:rFonts w:ascii="宋体" w:hAnsi="宋体" w:eastAsia="宋体" w:cs="宋体"/>
          <w:b w:val="0"/>
          <w:i w:val="0"/>
          <w:color w:val="000000"/>
          <w:sz w:val="20"/>
        </w:rPr>
        <w:t>(2) 在保持目标资本结构的前提下，如果公司执行剩余股利政策。计算2004年度应分配的现金股利。</w:t>
      </w:r>
    </w:p>
    <w:p w14:paraId="0918B692">
      <w:pPr>
        <w:wordWrap/>
        <w:autoSpaceDE w:val="0"/>
        <w:autoSpaceDN w:val="0"/>
        <w:spacing w:before="40" w:after="0" w:line="420" w:lineRule="atLeast"/>
        <w:ind w:left="700" w:right="460" w:firstLine="80"/>
        <w:jc w:val="both"/>
        <w:textAlignment w:val="auto"/>
        <w:rPr>
          <w:sz w:val="20"/>
        </w:rPr>
      </w:pPr>
      <w:r>
        <w:rPr>
          <w:rFonts w:ascii="宋体" w:hAnsi="宋体" w:eastAsia="宋体" w:cs="宋体"/>
          <w:b w:val="0"/>
          <w:i w:val="0"/>
          <w:color w:val="000000"/>
          <w:sz w:val="20"/>
        </w:rPr>
        <w:t>(3) 在不考虑目标资本结构的前提下，如果公司执行固定股利政策，计算2004年度应分配的现金股利、可用于2005年投资的留存收益和需要额外筹集的资金额。</w:t>
      </w:r>
    </w:p>
    <w:p w14:paraId="44A36DD8">
      <w:pPr>
        <w:wordWrap/>
        <w:autoSpaceDE w:val="0"/>
        <w:autoSpaceDN w:val="0"/>
        <w:spacing w:before="20" w:after="0" w:line="470" w:lineRule="atLeast"/>
        <w:ind w:left="700" w:right="460" w:firstLine="80"/>
        <w:jc w:val="both"/>
        <w:textAlignment w:val="auto"/>
        <w:rPr>
          <w:sz w:val="20"/>
        </w:rPr>
      </w:pPr>
      <w:r>
        <w:rPr>
          <w:rFonts w:ascii="宋体" w:hAnsi="宋体" w:eastAsia="宋体" w:cs="宋体"/>
          <w:b w:val="0"/>
          <w:i w:val="0"/>
          <w:color w:val="000000"/>
          <w:sz w:val="20"/>
        </w:rPr>
        <w:t>(4)不考虑目标资本结构的前提下，如果公司执行固定股利支付政策，计算该公司的股利支付率和2004年度应分配的现金股利。</w:t>
      </w:r>
    </w:p>
    <w:p w14:paraId="7EF9094D">
      <w:pPr>
        <w:wordWrap/>
        <w:autoSpaceDE w:val="0"/>
        <w:autoSpaceDN w:val="0"/>
        <w:spacing w:before="40" w:after="0" w:line="420" w:lineRule="atLeast"/>
        <w:ind w:left="680" w:right="460" w:firstLine="100"/>
        <w:jc w:val="both"/>
        <w:textAlignment w:val="auto"/>
        <w:rPr>
          <w:sz w:val="20"/>
        </w:rPr>
      </w:pPr>
      <w:r>
        <w:rPr>
          <w:rFonts w:ascii="宋体" w:hAnsi="宋体" w:eastAsia="宋体" w:cs="宋体"/>
          <w:b w:val="0"/>
          <w:i w:val="0"/>
          <w:color w:val="000000"/>
          <w:sz w:val="20"/>
        </w:rPr>
        <w:t>(5) 假定公司2005年面临着从外部筹资的困难，只能从内部筹资，不考虑目标资本结构，计算在此情况下2004年度应分配的现金股利。</w:t>
      </w:r>
    </w:p>
    <w:p w14:paraId="345C516D">
      <w:pPr>
        <w:wordWrap/>
        <w:autoSpaceDE w:val="0"/>
        <w:autoSpaceDN w:val="0"/>
        <w:spacing w:before="6760" w:after="0" w:line="240" w:lineRule="atLeast"/>
        <w:ind w:left="4460" w:right="0"/>
        <w:jc w:val="both"/>
        <w:textAlignment w:val="auto"/>
        <w:rPr>
          <w:sz w:val="14"/>
        </w:rPr>
      </w:pPr>
      <w:r>
        <w:rPr>
          <w:rFonts w:ascii="宋体" w:hAnsi="宋体" w:eastAsia="宋体" w:cs="宋体"/>
          <w:b/>
          <w:i w:val="0"/>
          <w:color w:val="000000"/>
          <w:sz w:val="14"/>
        </w:rPr>
        <w:t>五、综合题</w:t>
      </w:r>
    </w:p>
    <w:p w14:paraId="61FA08DC">
      <w:pPr>
        <w:wordWrap/>
        <w:autoSpaceDE w:val="0"/>
        <w:autoSpaceDN w:val="0"/>
        <w:spacing w:before="240" w:after="0" w:line="260" w:lineRule="atLeast"/>
        <w:ind w:left="280" w:right="0"/>
        <w:jc w:val="both"/>
        <w:textAlignment w:val="auto"/>
        <w:rPr>
          <w:sz w:val="20"/>
        </w:rPr>
      </w:pPr>
      <w:r>
        <w:rPr>
          <w:rFonts w:ascii="宋体" w:hAnsi="宋体" w:eastAsia="宋体" w:cs="宋体"/>
          <w:b w:val="0"/>
          <w:i w:val="0"/>
          <w:color w:val="000000"/>
          <w:sz w:val="20"/>
        </w:rPr>
        <w:t>1某企业2004年12月31日的资产负债表(简表)如下：</w:t>
      </w:r>
    </w:p>
    <w:p w14:paraId="3DC12B7C">
      <w:pPr>
        <w:wordWrap/>
        <w:autoSpaceDE w:val="0"/>
        <w:autoSpaceDN w:val="0"/>
        <w:spacing w:before="200" w:after="0" w:line="260" w:lineRule="atLeast"/>
        <w:ind w:left="7020" w:right="0"/>
        <w:jc w:val="both"/>
        <w:textAlignment w:val="auto"/>
        <w:rPr>
          <w:sz w:val="20"/>
        </w:rPr>
      </w:pPr>
      <w:r>
        <w:rPr>
          <w:rFonts w:ascii="宋体" w:hAnsi="宋体" w:eastAsia="宋体" w:cs="宋体"/>
          <w:b w:val="0"/>
          <w:i w:val="0"/>
          <w:color w:val="000000"/>
          <w:sz w:val="20"/>
        </w:rPr>
        <w:t>凡师傅旗舰店fanshifu.tmall.com</w:t>
      </w:r>
      <w:r>
        <w:br w:type="page"/>
      </w:r>
    </w:p>
    <w:p w14:paraId="5E4A9C69">
      <w:pPr>
        <w:wordWrap/>
        <w:autoSpaceDE w:val="0"/>
        <w:autoSpaceDN w:val="0"/>
        <w:spacing w:before="660" w:after="0" w:line="280" w:lineRule="atLeast"/>
        <w:ind w:left="260" w:right="0"/>
        <w:jc w:val="both"/>
        <w:textAlignment w:val="auto"/>
        <w:rPr>
          <w:sz w:val="17"/>
        </w:rPr>
      </w:pPr>
      <w:r>
        <w:rPr>
          <w:rFonts w:ascii="宋体" w:hAnsi="宋体" w:eastAsia="宋体" w:cs="宋体"/>
          <w:b w:val="0"/>
          <w:i w:val="0"/>
          <w:color w:val="000000"/>
          <w:sz w:val="17"/>
        </w:rPr>
        <w:t>资产负债表(简表)</w:t>
      </w:r>
    </w:p>
    <w:p w14:paraId="39E87CD3">
      <w:pPr>
        <w:wordWrap/>
        <w:autoSpaceDE w:val="0"/>
        <w:autoSpaceDN w:val="0"/>
        <w:spacing w:before="220" w:after="0" w:line="260" w:lineRule="atLeast"/>
        <w:ind w:left="260" w:right="0"/>
        <w:jc w:val="both"/>
        <w:textAlignment w:val="auto"/>
        <w:rPr>
          <w:sz w:val="17"/>
        </w:rPr>
      </w:pPr>
      <w:r>
        <w:rPr>
          <w:rFonts w:ascii="宋体" w:hAnsi="宋体" w:eastAsia="宋体" w:cs="宋体"/>
          <w:b w:val="0"/>
          <w:i w:val="0"/>
          <w:color w:val="000000"/>
          <w:sz w:val="17"/>
        </w:rPr>
        <w:t>2004年12月31日单位: 万元</w:t>
      </w:r>
    </w:p>
    <w:p w14:paraId="42B06433">
      <w:pPr>
        <w:wordWrap/>
        <w:spacing w:before="0" w:after="0" w:line="180" w:lineRule="exact"/>
        <w:ind w:left="0" w:right="0"/>
        <w:textAlignment w:val="auto"/>
      </w:pPr>
    </w:p>
    <w:tbl>
      <w:tblPr>
        <w:tblStyle w:val="2"/>
        <w:tblW w:w="0" w:type="auto"/>
        <w:tblInd w:w="30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2100"/>
        <w:gridCol w:w="2180"/>
        <w:gridCol w:w="2340"/>
        <w:gridCol w:w="1920"/>
      </w:tblGrid>
      <w:tr w14:paraId="224D368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20" w:hRule="atLeast"/>
        </w:trPr>
        <w:tc>
          <w:tcPr>
            <w:tcW w:w="2100" w:type="dxa"/>
            <w:vAlign w:val="center"/>
          </w:tcPr>
          <w:p w14:paraId="4D9D4366">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资产</w:t>
            </w:r>
          </w:p>
        </w:tc>
        <w:tc>
          <w:tcPr>
            <w:tcW w:w="2180" w:type="dxa"/>
            <w:vAlign w:val="center"/>
          </w:tcPr>
          <w:p w14:paraId="302F3B5C">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期末数</w:t>
            </w:r>
          </w:p>
        </w:tc>
        <w:tc>
          <w:tcPr>
            <w:tcW w:w="2340" w:type="dxa"/>
            <w:vAlign w:val="center"/>
          </w:tcPr>
          <w:p w14:paraId="5E01FDEC">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负债及所有者权益</w:t>
            </w:r>
          </w:p>
        </w:tc>
        <w:tc>
          <w:tcPr>
            <w:tcW w:w="1920" w:type="dxa"/>
            <w:vAlign w:val="center"/>
          </w:tcPr>
          <w:p w14:paraId="22E7069F">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期末数</w:t>
            </w:r>
          </w:p>
        </w:tc>
      </w:tr>
      <w:tr w14:paraId="34819F4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60" w:hRule="atLeast"/>
        </w:trPr>
        <w:tc>
          <w:tcPr>
            <w:tcW w:w="2100" w:type="dxa"/>
            <w:vAlign w:val="center"/>
          </w:tcPr>
          <w:p w14:paraId="6C16F193">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货币资金</w:t>
            </w:r>
          </w:p>
        </w:tc>
        <w:tc>
          <w:tcPr>
            <w:tcW w:w="2180" w:type="dxa"/>
            <w:vAlign w:val="center"/>
          </w:tcPr>
          <w:p w14:paraId="5FCC1653">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300</w:t>
            </w:r>
          </w:p>
        </w:tc>
        <w:tc>
          <w:tcPr>
            <w:tcW w:w="2340" w:type="dxa"/>
            <w:vAlign w:val="center"/>
          </w:tcPr>
          <w:p w14:paraId="20E1B19D">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应付账款</w:t>
            </w:r>
          </w:p>
        </w:tc>
        <w:tc>
          <w:tcPr>
            <w:tcW w:w="1920" w:type="dxa"/>
            <w:vAlign w:val="center"/>
          </w:tcPr>
          <w:p w14:paraId="0E42A470">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300</w:t>
            </w:r>
          </w:p>
        </w:tc>
      </w:tr>
      <w:tr w14:paraId="50DC285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40" w:hRule="atLeast"/>
        </w:trPr>
        <w:tc>
          <w:tcPr>
            <w:tcW w:w="2100" w:type="dxa"/>
            <w:vAlign w:val="center"/>
          </w:tcPr>
          <w:p w14:paraId="320D7497">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应收账款净额</w:t>
            </w:r>
          </w:p>
        </w:tc>
        <w:tc>
          <w:tcPr>
            <w:tcW w:w="2180" w:type="dxa"/>
            <w:vAlign w:val="center"/>
          </w:tcPr>
          <w:p w14:paraId="251C0502">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900</w:t>
            </w:r>
          </w:p>
        </w:tc>
        <w:tc>
          <w:tcPr>
            <w:tcW w:w="2340" w:type="dxa"/>
            <w:vAlign w:val="center"/>
          </w:tcPr>
          <w:p w14:paraId="33EF3DA3">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应付票据</w:t>
            </w:r>
          </w:p>
        </w:tc>
        <w:tc>
          <w:tcPr>
            <w:tcW w:w="1920" w:type="dxa"/>
            <w:vAlign w:val="center"/>
          </w:tcPr>
          <w:p w14:paraId="4143D41D">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600</w:t>
            </w:r>
          </w:p>
        </w:tc>
      </w:tr>
      <w:tr w14:paraId="528FA76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40" w:hRule="atLeast"/>
        </w:trPr>
        <w:tc>
          <w:tcPr>
            <w:tcW w:w="2100" w:type="dxa"/>
            <w:vAlign w:val="center"/>
          </w:tcPr>
          <w:p w14:paraId="55611448">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存货</w:t>
            </w:r>
          </w:p>
        </w:tc>
        <w:tc>
          <w:tcPr>
            <w:tcW w:w="2180" w:type="dxa"/>
            <w:vAlign w:val="center"/>
          </w:tcPr>
          <w:p w14:paraId="55FBB216">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1800</w:t>
            </w:r>
          </w:p>
        </w:tc>
        <w:tc>
          <w:tcPr>
            <w:tcW w:w="2340" w:type="dxa"/>
            <w:vAlign w:val="center"/>
          </w:tcPr>
          <w:p w14:paraId="3AF1732E">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长期借款</w:t>
            </w:r>
          </w:p>
        </w:tc>
        <w:tc>
          <w:tcPr>
            <w:tcW w:w="1920" w:type="dxa"/>
            <w:vAlign w:val="center"/>
          </w:tcPr>
          <w:p w14:paraId="687B913F">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2700</w:t>
            </w:r>
          </w:p>
        </w:tc>
      </w:tr>
      <w:tr w14:paraId="1DA3727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60" w:hRule="atLeast"/>
        </w:trPr>
        <w:tc>
          <w:tcPr>
            <w:tcW w:w="2100" w:type="dxa"/>
            <w:vAlign w:val="center"/>
          </w:tcPr>
          <w:p w14:paraId="75B4848E">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固定资产净值</w:t>
            </w:r>
          </w:p>
        </w:tc>
        <w:tc>
          <w:tcPr>
            <w:tcW w:w="2180" w:type="dxa"/>
            <w:vAlign w:val="center"/>
          </w:tcPr>
          <w:p w14:paraId="620D55A8">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2100</w:t>
            </w:r>
          </w:p>
        </w:tc>
        <w:tc>
          <w:tcPr>
            <w:tcW w:w="2340" w:type="dxa"/>
            <w:vAlign w:val="center"/>
          </w:tcPr>
          <w:p w14:paraId="39A2A748">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实收资本</w:t>
            </w:r>
          </w:p>
        </w:tc>
        <w:tc>
          <w:tcPr>
            <w:tcW w:w="1920" w:type="dxa"/>
            <w:vAlign w:val="center"/>
          </w:tcPr>
          <w:p w14:paraId="4DBBA6F8">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1200</w:t>
            </w:r>
          </w:p>
        </w:tc>
      </w:tr>
      <w:tr w14:paraId="497C772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60" w:hRule="atLeast"/>
        </w:trPr>
        <w:tc>
          <w:tcPr>
            <w:tcW w:w="2100" w:type="dxa"/>
            <w:vAlign w:val="center"/>
          </w:tcPr>
          <w:p w14:paraId="089B8B77">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无形资产</w:t>
            </w:r>
          </w:p>
        </w:tc>
        <w:tc>
          <w:tcPr>
            <w:tcW w:w="2180" w:type="dxa"/>
            <w:vAlign w:val="center"/>
          </w:tcPr>
          <w:p w14:paraId="66091DBE">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300</w:t>
            </w:r>
          </w:p>
        </w:tc>
        <w:tc>
          <w:tcPr>
            <w:tcW w:w="2340" w:type="dxa"/>
            <w:vAlign w:val="center"/>
          </w:tcPr>
          <w:p w14:paraId="3D1CFAE8">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留存收益</w:t>
            </w:r>
          </w:p>
        </w:tc>
        <w:tc>
          <w:tcPr>
            <w:tcW w:w="1920" w:type="dxa"/>
            <w:vAlign w:val="center"/>
          </w:tcPr>
          <w:p w14:paraId="36D70ED3">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600</w:t>
            </w:r>
          </w:p>
        </w:tc>
      </w:tr>
      <w:tr w14:paraId="7590C73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60" w:hRule="atLeast"/>
        </w:trPr>
        <w:tc>
          <w:tcPr>
            <w:tcW w:w="2100" w:type="dxa"/>
            <w:vAlign w:val="center"/>
          </w:tcPr>
          <w:p w14:paraId="09705BC8">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资产总计</w:t>
            </w:r>
          </w:p>
        </w:tc>
        <w:tc>
          <w:tcPr>
            <w:tcW w:w="2180" w:type="dxa"/>
            <w:vAlign w:val="center"/>
          </w:tcPr>
          <w:p w14:paraId="30478720">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5400</w:t>
            </w:r>
          </w:p>
        </w:tc>
        <w:tc>
          <w:tcPr>
            <w:tcW w:w="2340" w:type="dxa"/>
            <w:vAlign w:val="center"/>
          </w:tcPr>
          <w:p w14:paraId="79012277">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负债及所有者权益总计</w:t>
            </w:r>
          </w:p>
        </w:tc>
        <w:tc>
          <w:tcPr>
            <w:tcW w:w="1920" w:type="dxa"/>
            <w:vAlign w:val="center"/>
          </w:tcPr>
          <w:p w14:paraId="1098CFE6">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5400</w:t>
            </w:r>
          </w:p>
        </w:tc>
      </w:tr>
    </w:tbl>
    <w:p w14:paraId="03F96083">
      <w:pPr>
        <w:wordWrap/>
        <w:autoSpaceDE w:val="0"/>
        <w:autoSpaceDN w:val="0"/>
        <w:spacing w:before="560" w:after="0" w:line="280" w:lineRule="atLeast"/>
        <w:ind w:left="260" w:right="0"/>
        <w:jc w:val="both"/>
        <w:textAlignment w:val="auto"/>
        <w:rPr>
          <w:sz w:val="17"/>
        </w:rPr>
      </w:pPr>
      <w:r>
        <w:rPr>
          <w:rFonts w:ascii="宋体" w:hAnsi="宋体" w:eastAsia="宋体" w:cs="宋体"/>
          <w:b w:val="0"/>
          <w:i w:val="0"/>
          <w:color w:val="000000"/>
          <w:sz w:val="17"/>
        </w:rPr>
        <w:t>该企业2004年的主营业务收入净额为6000万元，主营业务净利率为10%，净利润的50%分配给投资者。</w:t>
      </w:r>
    </w:p>
    <w:p w14:paraId="2CE5E9D1">
      <w:pPr>
        <w:wordWrap/>
        <w:autoSpaceDE w:val="0"/>
        <w:autoSpaceDN w:val="0"/>
        <w:spacing w:before="200" w:after="0" w:line="280" w:lineRule="atLeast"/>
        <w:ind w:left="260" w:right="0"/>
        <w:jc w:val="both"/>
        <w:textAlignment w:val="auto"/>
        <w:rPr>
          <w:sz w:val="17"/>
        </w:rPr>
      </w:pPr>
      <w:r>
        <w:rPr>
          <w:rFonts w:ascii="宋体" w:hAnsi="宋体" w:eastAsia="宋体" w:cs="宋体"/>
          <w:b w:val="0"/>
          <w:i w:val="0"/>
          <w:color w:val="000000"/>
          <w:sz w:val="17"/>
        </w:rPr>
        <w:t>预计2005年主营业务收入净额比上年增长25%，为此需要增加固定资产200万元，增加无形资</w:t>
      </w:r>
    </w:p>
    <w:p w14:paraId="61C9EB87">
      <w:pPr>
        <w:wordWrap/>
        <w:autoSpaceDE w:val="0"/>
        <w:autoSpaceDN w:val="0"/>
        <w:spacing w:before="200" w:after="0" w:line="260" w:lineRule="atLeast"/>
        <w:ind w:left="260" w:right="0"/>
        <w:jc w:val="both"/>
        <w:textAlignment w:val="auto"/>
        <w:rPr>
          <w:sz w:val="17"/>
        </w:rPr>
      </w:pPr>
      <w:r>
        <w:rPr>
          <w:rFonts w:ascii="宋体" w:hAnsi="宋体" w:eastAsia="宋体" w:cs="宋体"/>
          <w:b w:val="0"/>
          <w:i w:val="0"/>
          <w:color w:val="000000"/>
          <w:sz w:val="17"/>
        </w:rPr>
        <w:t>产100万元，根据有关情况分析，企业流动资产项目和流动负债项目将随主营业务收入同比例增减。</w:t>
      </w:r>
    </w:p>
    <w:p w14:paraId="18B93F61">
      <w:pPr>
        <w:wordWrap/>
        <w:autoSpaceDE w:val="0"/>
        <w:autoSpaceDN w:val="0"/>
        <w:spacing w:before="200" w:after="0" w:line="260" w:lineRule="atLeast"/>
        <w:ind w:left="260" w:right="0"/>
        <w:jc w:val="both"/>
        <w:textAlignment w:val="auto"/>
        <w:rPr>
          <w:sz w:val="17"/>
        </w:rPr>
      </w:pPr>
      <w:r>
        <w:rPr>
          <w:rFonts w:ascii="宋体" w:hAnsi="宋体" w:eastAsia="宋体" w:cs="宋体"/>
          <w:b w:val="0"/>
          <w:i w:val="0"/>
          <w:color w:val="000000"/>
          <w:sz w:val="17"/>
        </w:rPr>
        <w:t>假定该企业2005年的主营业务净利率和利润分配政策与上年保持一致，该年度长期借款不发生变化；</w:t>
      </w:r>
    </w:p>
    <w:p w14:paraId="3AB36334">
      <w:pPr>
        <w:wordWrap/>
        <w:autoSpaceDE w:val="0"/>
        <w:autoSpaceDN w:val="0"/>
        <w:spacing w:before="220" w:after="0" w:line="260" w:lineRule="atLeast"/>
        <w:ind w:left="260" w:right="0"/>
        <w:jc w:val="both"/>
        <w:textAlignment w:val="auto"/>
        <w:rPr>
          <w:sz w:val="17"/>
        </w:rPr>
      </w:pPr>
      <w:r>
        <w:rPr>
          <w:rFonts w:ascii="宋体" w:hAnsi="宋体" w:eastAsia="宋体" w:cs="宋体"/>
          <w:b w:val="0"/>
          <w:i w:val="0"/>
          <w:color w:val="000000"/>
          <w:sz w:val="17"/>
        </w:rPr>
        <w:t>2005年年末固定资产净值和无形资产合计为 2700万</w:t>
      </w:r>
    </w:p>
    <w:p w14:paraId="38AF43CE">
      <w:pPr>
        <w:wordWrap/>
        <w:autoSpaceDE w:val="0"/>
        <w:autoSpaceDN w:val="0"/>
        <w:spacing w:before="200" w:after="0" w:line="280" w:lineRule="atLeast"/>
        <w:ind w:left="260" w:right="0"/>
        <w:jc w:val="both"/>
        <w:textAlignment w:val="auto"/>
        <w:rPr>
          <w:sz w:val="17"/>
        </w:rPr>
      </w:pPr>
      <w:r>
        <w:rPr>
          <w:rFonts w:ascii="宋体" w:hAnsi="宋体" w:eastAsia="宋体" w:cs="宋体"/>
          <w:b w:val="0"/>
          <w:i w:val="0"/>
          <w:color w:val="000000"/>
          <w:sz w:val="17"/>
        </w:rPr>
        <w:t>元。2005年企业需要增加对外筹集的资金由投资者增加投入解决。</w:t>
      </w:r>
    </w:p>
    <w:p w14:paraId="6C351388">
      <w:pPr>
        <w:wordWrap/>
        <w:autoSpaceDE w:val="0"/>
        <w:autoSpaceDN w:val="0"/>
        <w:spacing w:before="160" w:after="0" w:line="280" w:lineRule="atLeast"/>
        <w:ind w:left="800" w:right="0"/>
        <w:jc w:val="both"/>
        <w:textAlignment w:val="auto"/>
        <w:rPr>
          <w:sz w:val="17"/>
        </w:rPr>
      </w:pPr>
      <w:r>
        <w:rPr>
          <w:rFonts w:ascii="宋体" w:hAnsi="宋体" w:eastAsia="宋体" w:cs="宋体"/>
          <w:b w:val="0"/>
          <w:i w:val="0"/>
          <w:color w:val="000000"/>
          <w:sz w:val="17"/>
        </w:rPr>
        <w:t>要求：</w:t>
      </w:r>
    </w:p>
    <w:p w14:paraId="1762AEBA">
      <w:pPr>
        <w:wordWrap/>
        <w:autoSpaceDE w:val="0"/>
        <w:autoSpaceDN w:val="0"/>
        <w:spacing w:before="220" w:after="0" w:line="260" w:lineRule="atLeast"/>
        <w:ind w:left="800" w:right="0"/>
        <w:jc w:val="both"/>
        <w:textAlignment w:val="auto"/>
        <w:rPr>
          <w:sz w:val="17"/>
        </w:rPr>
      </w:pPr>
      <w:r>
        <w:rPr>
          <w:rFonts w:ascii="宋体" w:hAnsi="宋体" w:eastAsia="宋体" w:cs="宋体"/>
          <w:b w:val="0"/>
          <w:i w:val="0"/>
          <w:color w:val="000000"/>
          <w:sz w:val="17"/>
        </w:rPr>
        <w:t>(1) 计算2005年需要增加的营运资金额。</w:t>
      </w:r>
    </w:p>
    <w:p w14:paraId="7143875F">
      <w:pPr>
        <w:wordWrap/>
        <w:autoSpaceDE w:val="0"/>
        <w:autoSpaceDN w:val="0"/>
        <w:spacing w:before="60" w:after="0" w:line="420" w:lineRule="atLeast"/>
        <w:ind w:left="720" w:right="440" w:firstLine="80"/>
        <w:jc w:val="both"/>
        <w:textAlignment w:val="auto"/>
        <w:rPr>
          <w:sz w:val="17"/>
        </w:rPr>
      </w:pPr>
      <w:r>
        <w:rPr>
          <w:rFonts w:ascii="宋体" w:hAnsi="宋体" w:eastAsia="宋体" w:cs="宋体"/>
          <w:b w:val="0"/>
          <w:i w:val="0"/>
          <w:color w:val="000000"/>
          <w:sz w:val="17"/>
        </w:rPr>
        <w:t>(2) 预测2005年需要增加对外筹集的资金额(不考虑计提法定盈余公积的因素；以前年度的留存收益均已有指定用途)。</w:t>
      </w:r>
    </w:p>
    <w:p w14:paraId="49B3A706">
      <w:pPr>
        <w:wordWrap/>
        <w:autoSpaceDE w:val="0"/>
        <w:autoSpaceDN w:val="0"/>
        <w:spacing w:before="220" w:after="0" w:line="260" w:lineRule="atLeast"/>
        <w:ind w:left="800" w:right="0"/>
        <w:jc w:val="both"/>
        <w:textAlignment w:val="auto"/>
        <w:rPr>
          <w:sz w:val="17"/>
        </w:rPr>
      </w:pPr>
      <w:r>
        <w:rPr>
          <w:rFonts w:ascii="宋体" w:hAnsi="宋体" w:eastAsia="宋体" w:cs="宋体"/>
          <w:b w:val="0"/>
          <w:i w:val="0"/>
          <w:color w:val="000000"/>
          <w:sz w:val="17"/>
        </w:rPr>
        <w:t>(3) 预测2005年末的流动资产额、流动负债额、资产总额、负债总额和所有者权益总额。</w:t>
      </w:r>
    </w:p>
    <w:p w14:paraId="388D34CC">
      <w:pPr>
        <w:wordWrap/>
        <w:autoSpaceDE w:val="0"/>
        <w:autoSpaceDN w:val="0"/>
        <w:spacing w:before="220" w:after="0" w:line="260" w:lineRule="atLeast"/>
        <w:ind w:left="800" w:right="0"/>
        <w:jc w:val="both"/>
        <w:textAlignment w:val="auto"/>
        <w:rPr>
          <w:sz w:val="17"/>
        </w:rPr>
      </w:pPr>
      <w:r>
        <w:rPr>
          <w:rFonts w:ascii="宋体" w:hAnsi="宋体" w:eastAsia="宋体" w:cs="宋体"/>
          <w:b w:val="0"/>
          <w:i w:val="0"/>
          <w:color w:val="000000"/>
          <w:sz w:val="17"/>
        </w:rPr>
        <w:t>(4) 预测2005年的速动比率和产权比率。</w:t>
      </w:r>
    </w:p>
    <w:p w14:paraId="2D24A799">
      <w:pPr>
        <w:wordWrap/>
        <w:autoSpaceDE w:val="0"/>
        <w:autoSpaceDN w:val="0"/>
        <w:spacing w:before="220" w:after="0" w:line="260" w:lineRule="atLeast"/>
        <w:ind w:left="800" w:right="0"/>
        <w:jc w:val="both"/>
        <w:textAlignment w:val="auto"/>
        <w:rPr>
          <w:sz w:val="17"/>
        </w:rPr>
      </w:pPr>
      <w:r>
        <w:rPr>
          <w:rFonts w:ascii="宋体" w:hAnsi="宋体" w:eastAsia="宋体" w:cs="宋体"/>
          <w:b w:val="0"/>
          <w:i w:val="0"/>
          <w:color w:val="000000"/>
          <w:sz w:val="17"/>
        </w:rPr>
        <w:t>(5) 预测2005年的流动资产周转次数和总资产周转次数。</w:t>
      </w:r>
    </w:p>
    <w:p w14:paraId="4C77973D">
      <w:pPr>
        <w:wordWrap/>
        <w:autoSpaceDE w:val="0"/>
        <w:autoSpaceDN w:val="0"/>
        <w:spacing w:before="160" w:after="0" w:line="260" w:lineRule="atLeast"/>
        <w:ind w:left="800" w:right="0"/>
        <w:jc w:val="both"/>
        <w:textAlignment w:val="auto"/>
        <w:rPr>
          <w:sz w:val="17"/>
        </w:rPr>
      </w:pPr>
      <w:r>
        <w:rPr>
          <w:rFonts w:ascii="宋体" w:hAnsi="宋体" w:eastAsia="宋体" w:cs="宋体"/>
          <w:b w:val="0"/>
          <w:i w:val="0"/>
          <w:color w:val="000000"/>
          <w:sz w:val="17"/>
        </w:rPr>
        <w:t>(6) 预测2005年的净资产收益率。</w:t>
      </w:r>
    </w:p>
    <w:p w14:paraId="3BBAC9F5">
      <w:pPr>
        <w:wordWrap/>
        <w:autoSpaceDE w:val="0"/>
        <w:autoSpaceDN w:val="0"/>
        <w:spacing w:before="220" w:after="0" w:line="260" w:lineRule="atLeast"/>
        <w:ind w:left="800" w:right="0"/>
        <w:jc w:val="both"/>
        <w:textAlignment w:val="auto"/>
        <w:rPr>
          <w:sz w:val="17"/>
        </w:rPr>
      </w:pPr>
      <w:r>
        <w:rPr>
          <w:rFonts w:ascii="宋体" w:hAnsi="宋体" w:eastAsia="宋体" w:cs="宋体"/>
          <w:b w:val="0"/>
          <w:i w:val="0"/>
          <w:color w:val="000000"/>
          <w:sz w:val="17"/>
        </w:rPr>
        <w:t>(7) 预测2005年的资本积累率和总资产增长率。</w:t>
      </w:r>
    </w:p>
    <w:p w14:paraId="0A8A4B7E">
      <w:pPr>
        <w:wordWrap/>
        <w:autoSpaceDE w:val="0"/>
        <w:autoSpaceDN w:val="0"/>
        <w:spacing w:before="980" w:after="0" w:line="440" w:lineRule="atLeast"/>
        <w:ind w:left="260" w:right="440"/>
        <w:jc w:val="both"/>
        <w:textAlignment w:val="auto"/>
        <w:rPr>
          <w:sz w:val="17"/>
        </w:rPr>
      </w:pPr>
      <w:r>
        <w:rPr>
          <w:rFonts w:ascii="宋体" w:hAnsi="宋体" w:eastAsia="宋体" w:cs="宋体"/>
          <w:b w:val="0"/>
          <w:i w:val="0"/>
          <w:color w:val="000000"/>
          <w:sz w:val="17"/>
        </w:rPr>
        <w:t>2.某企业准备投资一个完整工业建设项目，所在的行业基准折现率(资金成本率)为10%，分别有A、B、C三个方案可供选择。</w:t>
      </w:r>
      <w:r>
        <w:br w:type="page"/>
      </w:r>
    </w:p>
    <w:p w14:paraId="31FF9E89">
      <w:pPr>
        <w:wordWrap/>
        <w:autoSpaceDE w:val="0"/>
        <w:autoSpaceDN w:val="0"/>
        <w:spacing w:before="660" w:after="0" w:line="280" w:lineRule="atLeast"/>
        <w:ind w:left="340" w:right="0"/>
        <w:jc w:val="both"/>
        <w:textAlignment w:val="auto"/>
        <w:rPr>
          <w:sz w:val="18"/>
        </w:rPr>
      </w:pPr>
      <w:r>
        <w:rPr>
          <w:rFonts w:ascii="宋体" w:hAnsi="宋体" w:eastAsia="宋体" w:cs="宋体"/>
          <w:b w:val="0"/>
          <w:i w:val="0"/>
          <w:color w:val="000000"/>
          <w:sz w:val="18"/>
        </w:rPr>
        <w:t>(1) A方案的有关资料如下：</w:t>
      </w:r>
    </w:p>
    <w:p w14:paraId="5B5DE8BA">
      <w:pPr>
        <w:wordWrap/>
        <w:autoSpaceDE w:val="0"/>
        <w:autoSpaceDN w:val="0"/>
        <w:spacing w:before="220" w:after="0" w:line="260" w:lineRule="atLeast"/>
        <w:ind w:left="340" w:right="0"/>
        <w:jc w:val="both"/>
        <w:textAlignment w:val="auto"/>
        <w:rPr>
          <w:sz w:val="18"/>
        </w:rPr>
      </w:pPr>
      <w:r>
        <w:rPr>
          <w:rFonts w:ascii="宋体" w:hAnsi="宋体" w:eastAsia="宋体" w:cs="宋体"/>
          <w:b w:val="0"/>
          <w:i w:val="0"/>
          <w:color w:val="000000"/>
          <w:sz w:val="18"/>
        </w:rPr>
        <w:t>金额单位：元</w:t>
      </w:r>
    </w:p>
    <w:p w14:paraId="7B97D278">
      <w:pPr>
        <w:wordWrap/>
        <w:spacing w:before="0" w:after="0" w:line="140" w:lineRule="exact"/>
        <w:ind w:left="0" w:right="0"/>
        <w:textAlignment w:val="auto"/>
      </w:pPr>
    </w:p>
    <w:tbl>
      <w:tblPr>
        <w:tblStyle w:val="2"/>
        <w:tblW w:w="0" w:type="auto"/>
        <w:tblInd w:w="28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1280"/>
        <w:gridCol w:w="840"/>
        <w:gridCol w:w="840"/>
        <w:gridCol w:w="800"/>
        <w:gridCol w:w="940"/>
        <w:gridCol w:w="1000"/>
        <w:gridCol w:w="940"/>
        <w:gridCol w:w="960"/>
        <w:gridCol w:w="840"/>
      </w:tblGrid>
      <w:tr w14:paraId="7DA4B90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80" w:hRule="atLeast"/>
        </w:trPr>
        <w:tc>
          <w:tcPr>
            <w:tcW w:w="1280" w:type="dxa"/>
            <w:vAlign w:val="center"/>
          </w:tcPr>
          <w:p w14:paraId="62552925">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计算期</w:t>
            </w:r>
          </w:p>
        </w:tc>
        <w:tc>
          <w:tcPr>
            <w:tcW w:w="840" w:type="dxa"/>
            <w:vAlign w:val="center"/>
          </w:tcPr>
          <w:p w14:paraId="7527FAAD">
            <w:pPr>
              <w:wordWrap/>
              <w:autoSpaceDE w:val="0"/>
              <w:autoSpaceDN w:val="0"/>
              <w:spacing w:before="0" w:after="0" w:line="360" w:lineRule="atLeast"/>
              <w:ind w:left="0" w:right="0"/>
              <w:jc w:val="center"/>
              <w:textAlignment w:val="auto"/>
              <w:rPr>
                <w:sz w:val="22"/>
              </w:rPr>
            </w:pPr>
            <w:r>
              <w:rPr>
                <w:rFonts w:ascii="宋体" w:hAnsi="宋体" w:eastAsia="宋体" w:cs="宋体"/>
                <w:b w:val="0"/>
                <w:i w:val="0"/>
                <w:color w:val="000000"/>
                <w:sz w:val="22"/>
              </w:rPr>
              <w:t>0</w:t>
            </w:r>
          </w:p>
        </w:tc>
        <w:tc>
          <w:tcPr>
            <w:tcW w:w="840" w:type="dxa"/>
            <w:vAlign w:val="center"/>
          </w:tcPr>
          <w:p w14:paraId="29DB2A92">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1</w:t>
            </w:r>
          </w:p>
        </w:tc>
        <w:tc>
          <w:tcPr>
            <w:tcW w:w="800" w:type="dxa"/>
            <w:vAlign w:val="center"/>
          </w:tcPr>
          <w:p w14:paraId="57D403FA">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2</w:t>
            </w:r>
          </w:p>
        </w:tc>
        <w:tc>
          <w:tcPr>
            <w:tcW w:w="940" w:type="dxa"/>
            <w:vAlign w:val="center"/>
          </w:tcPr>
          <w:p w14:paraId="27D7217C">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3</w:t>
            </w:r>
          </w:p>
        </w:tc>
        <w:tc>
          <w:tcPr>
            <w:tcW w:w="1000" w:type="dxa"/>
            <w:vAlign w:val="center"/>
          </w:tcPr>
          <w:p w14:paraId="5E88ED06">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4</w:t>
            </w:r>
          </w:p>
        </w:tc>
        <w:tc>
          <w:tcPr>
            <w:tcW w:w="940" w:type="dxa"/>
            <w:vAlign w:val="center"/>
          </w:tcPr>
          <w:p w14:paraId="3AE49213">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5</w:t>
            </w:r>
          </w:p>
        </w:tc>
        <w:tc>
          <w:tcPr>
            <w:tcW w:w="960" w:type="dxa"/>
            <w:vAlign w:val="center"/>
          </w:tcPr>
          <w:p w14:paraId="6B2617C5">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6</w:t>
            </w:r>
          </w:p>
        </w:tc>
        <w:tc>
          <w:tcPr>
            <w:tcW w:w="840" w:type="dxa"/>
            <w:vAlign w:val="center"/>
          </w:tcPr>
          <w:p w14:paraId="59E0595F">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合计</w:t>
            </w:r>
          </w:p>
        </w:tc>
      </w:tr>
      <w:tr w14:paraId="13646CE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60" w:hRule="atLeast"/>
        </w:trPr>
        <w:tc>
          <w:tcPr>
            <w:tcW w:w="1280" w:type="dxa"/>
            <w:vAlign w:val="center"/>
          </w:tcPr>
          <w:p w14:paraId="6D2AA1F0">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净现金流量</w:t>
            </w:r>
          </w:p>
        </w:tc>
        <w:tc>
          <w:tcPr>
            <w:tcW w:w="840" w:type="dxa"/>
            <w:vAlign w:val="center"/>
          </w:tcPr>
          <w:p w14:paraId="508D52C6">
            <w:pPr>
              <w:wordWrap/>
              <w:autoSpaceDE w:val="0"/>
              <w:autoSpaceDN w:val="0"/>
              <w:spacing w:before="0" w:after="0" w:line="360" w:lineRule="atLeast"/>
              <w:ind w:left="0" w:right="0"/>
              <w:jc w:val="center"/>
              <w:textAlignment w:val="auto"/>
              <w:rPr>
                <w:sz w:val="22"/>
              </w:rPr>
            </w:pPr>
            <w:r>
              <w:rPr>
                <w:rFonts w:ascii="宋体" w:hAnsi="宋体" w:eastAsia="宋体" w:cs="宋体"/>
                <w:b w:val="0"/>
                <w:i w:val="0"/>
                <w:color w:val="000000"/>
                <w:sz w:val="22"/>
              </w:rPr>
              <w:t>-60000</w:t>
            </w:r>
          </w:p>
        </w:tc>
        <w:tc>
          <w:tcPr>
            <w:tcW w:w="840" w:type="dxa"/>
            <w:vAlign w:val="center"/>
          </w:tcPr>
          <w:p w14:paraId="6A38D381">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0</w:t>
            </w:r>
          </w:p>
        </w:tc>
        <w:tc>
          <w:tcPr>
            <w:tcW w:w="800" w:type="dxa"/>
            <w:vAlign w:val="center"/>
          </w:tcPr>
          <w:p w14:paraId="0E64343F">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30000</w:t>
            </w:r>
          </w:p>
        </w:tc>
        <w:tc>
          <w:tcPr>
            <w:tcW w:w="940" w:type="dxa"/>
            <w:vAlign w:val="center"/>
          </w:tcPr>
          <w:p w14:paraId="63A99499">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30000</w:t>
            </w:r>
          </w:p>
        </w:tc>
        <w:tc>
          <w:tcPr>
            <w:tcW w:w="1000" w:type="dxa"/>
            <w:vAlign w:val="center"/>
          </w:tcPr>
          <w:p w14:paraId="42CC7154">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20000</w:t>
            </w:r>
          </w:p>
        </w:tc>
        <w:tc>
          <w:tcPr>
            <w:tcW w:w="940" w:type="dxa"/>
            <w:vAlign w:val="center"/>
          </w:tcPr>
          <w:p w14:paraId="39EFF838">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20000</w:t>
            </w:r>
          </w:p>
        </w:tc>
        <w:tc>
          <w:tcPr>
            <w:tcW w:w="960" w:type="dxa"/>
            <w:vAlign w:val="center"/>
          </w:tcPr>
          <w:p w14:paraId="6D8B9D3E">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30000</w:t>
            </w:r>
          </w:p>
        </w:tc>
        <w:tc>
          <w:tcPr>
            <w:tcW w:w="840" w:type="dxa"/>
            <w:vAlign w:val="center"/>
          </w:tcPr>
          <w:p w14:paraId="0FD99B44">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w:t>
            </w:r>
          </w:p>
        </w:tc>
      </w:tr>
      <w:tr w14:paraId="4A29443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920" w:hRule="atLeast"/>
        </w:trPr>
        <w:tc>
          <w:tcPr>
            <w:tcW w:w="1280" w:type="dxa"/>
            <w:vAlign w:val="center"/>
          </w:tcPr>
          <w:p w14:paraId="1048AB41">
            <w:pPr>
              <w:wordWrap/>
              <w:autoSpaceDE w:val="0"/>
              <w:autoSpaceDN w:val="0"/>
              <w:spacing w:before="0" w:after="0" w:line="420" w:lineRule="atLeast"/>
              <w:ind w:left="0" w:right="0"/>
              <w:jc w:val="both"/>
              <w:textAlignment w:val="auto"/>
              <w:rPr>
                <w:sz w:val="22"/>
              </w:rPr>
            </w:pPr>
            <w:r>
              <w:rPr>
                <w:rFonts w:ascii="宋体" w:hAnsi="宋体" w:eastAsia="宋体" w:cs="宋体"/>
                <w:b w:val="0"/>
                <w:i w:val="0"/>
                <w:color w:val="000000"/>
                <w:sz w:val="22"/>
              </w:rPr>
              <w:t>折现的净现</w:t>
            </w:r>
          </w:p>
          <w:p w14:paraId="46382D16">
            <w:pPr>
              <w:wordWrap/>
              <w:autoSpaceDE w:val="0"/>
              <w:autoSpaceDN w:val="0"/>
              <w:spacing w:before="20" w:after="0" w:line="400" w:lineRule="atLeast"/>
              <w:ind w:left="0" w:right="0"/>
              <w:jc w:val="both"/>
              <w:textAlignment w:val="auto"/>
              <w:rPr>
                <w:sz w:val="22"/>
              </w:rPr>
            </w:pPr>
            <w:r>
              <w:rPr>
                <w:rFonts w:ascii="宋体" w:hAnsi="宋体" w:eastAsia="宋体" w:cs="宋体"/>
                <w:b w:val="0"/>
                <w:i w:val="0"/>
                <w:color w:val="000000"/>
                <w:sz w:val="22"/>
              </w:rPr>
              <w:t>金流量</w:t>
            </w:r>
          </w:p>
        </w:tc>
        <w:tc>
          <w:tcPr>
            <w:tcW w:w="840" w:type="dxa"/>
            <w:vAlign w:val="center"/>
          </w:tcPr>
          <w:p w14:paraId="375CF0B1">
            <w:pPr>
              <w:wordWrap/>
              <w:autoSpaceDE w:val="0"/>
              <w:autoSpaceDN w:val="0"/>
              <w:spacing w:before="0" w:after="0" w:line="360" w:lineRule="atLeast"/>
              <w:ind w:left="0" w:right="0"/>
              <w:jc w:val="center"/>
              <w:textAlignment w:val="auto"/>
              <w:rPr>
                <w:sz w:val="22"/>
              </w:rPr>
            </w:pPr>
            <w:r>
              <w:rPr>
                <w:rFonts w:ascii="宋体" w:hAnsi="宋体" w:eastAsia="宋体" w:cs="宋体"/>
                <w:b w:val="0"/>
                <w:i w:val="0"/>
                <w:color w:val="000000"/>
                <w:sz w:val="22"/>
              </w:rPr>
              <w:t>-60000</w:t>
            </w:r>
          </w:p>
        </w:tc>
        <w:tc>
          <w:tcPr>
            <w:tcW w:w="840" w:type="dxa"/>
            <w:vAlign w:val="center"/>
          </w:tcPr>
          <w:p w14:paraId="7698FD53">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0</w:t>
            </w:r>
          </w:p>
        </w:tc>
        <w:tc>
          <w:tcPr>
            <w:tcW w:w="800" w:type="dxa"/>
            <w:vAlign w:val="center"/>
          </w:tcPr>
          <w:p w14:paraId="2746836B">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24792</w:t>
            </w:r>
          </w:p>
        </w:tc>
        <w:tc>
          <w:tcPr>
            <w:tcW w:w="940" w:type="dxa"/>
            <w:vAlign w:val="center"/>
          </w:tcPr>
          <w:p w14:paraId="7CDD8E7D">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22539</w:t>
            </w:r>
          </w:p>
        </w:tc>
        <w:tc>
          <w:tcPr>
            <w:tcW w:w="1000" w:type="dxa"/>
            <w:vAlign w:val="center"/>
          </w:tcPr>
          <w:p w14:paraId="6E577D5B">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13660</w:t>
            </w:r>
          </w:p>
        </w:tc>
        <w:tc>
          <w:tcPr>
            <w:tcW w:w="940" w:type="dxa"/>
            <w:vAlign w:val="center"/>
          </w:tcPr>
          <w:p w14:paraId="48375F43">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12418</w:t>
            </w:r>
          </w:p>
        </w:tc>
        <w:tc>
          <w:tcPr>
            <w:tcW w:w="960" w:type="dxa"/>
            <w:vAlign w:val="center"/>
          </w:tcPr>
          <w:p w14:paraId="51D78759">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16935</w:t>
            </w:r>
          </w:p>
        </w:tc>
        <w:tc>
          <w:tcPr>
            <w:tcW w:w="840" w:type="dxa"/>
            <w:vAlign w:val="center"/>
          </w:tcPr>
          <w:p w14:paraId="7A4B42E1">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30344</w:t>
            </w:r>
          </w:p>
        </w:tc>
      </w:tr>
    </w:tbl>
    <w:p w14:paraId="14A08030">
      <w:pPr>
        <w:wordWrap/>
        <w:autoSpaceDE w:val="0"/>
        <w:autoSpaceDN w:val="0"/>
        <w:spacing w:before="520" w:after="0" w:line="280" w:lineRule="atLeast"/>
        <w:ind w:left="340" w:right="0"/>
        <w:jc w:val="both"/>
        <w:textAlignment w:val="auto"/>
        <w:rPr>
          <w:sz w:val="18"/>
        </w:rPr>
      </w:pPr>
      <w:r>
        <w:rPr>
          <w:rFonts w:ascii="宋体" w:hAnsi="宋体" w:eastAsia="宋体" w:cs="宋体"/>
          <w:b w:val="0"/>
          <w:i w:val="0"/>
          <w:color w:val="000000"/>
          <w:sz w:val="18"/>
        </w:rPr>
        <w:t>已知A方案的投资于建设期起点一次投入，建设期为1年，该方案年等额净回收额为6967元。</w:t>
      </w:r>
    </w:p>
    <w:p w14:paraId="750284D6">
      <w:pPr>
        <w:wordWrap/>
        <w:autoSpaceDE w:val="0"/>
        <w:autoSpaceDN w:val="0"/>
        <w:spacing w:before="40" w:after="0" w:line="440" w:lineRule="atLeast"/>
        <w:ind w:left="240" w:right="480" w:firstLine="100"/>
        <w:jc w:val="both"/>
        <w:textAlignment w:val="auto"/>
        <w:rPr>
          <w:sz w:val="18"/>
        </w:rPr>
      </w:pPr>
      <w:r>
        <w:rPr>
          <w:rFonts w:ascii="宋体" w:hAnsi="宋体" w:eastAsia="宋体" w:cs="宋体"/>
          <w:b w:val="0"/>
          <w:i w:val="0"/>
          <w:color w:val="000000"/>
          <w:sz w:val="18"/>
        </w:rPr>
        <w:t>(2) B方案的项目计算期为8年，包括建设期的静态投资回收期为3.5年，净现值为50000元，年等额净回收额为9370元。</w:t>
      </w:r>
    </w:p>
    <w:p w14:paraId="46B66665">
      <w:pPr>
        <w:wordWrap/>
        <w:autoSpaceDE w:val="0"/>
        <w:autoSpaceDN w:val="0"/>
        <w:spacing w:before="200" w:after="0" w:line="280" w:lineRule="atLeast"/>
        <w:ind w:left="340" w:right="0"/>
        <w:jc w:val="both"/>
        <w:textAlignment w:val="auto"/>
        <w:rPr>
          <w:sz w:val="18"/>
        </w:rPr>
      </w:pPr>
      <w:r>
        <w:rPr>
          <w:rFonts w:ascii="宋体" w:hAnsi="宋体" w:eastAsia="宋体" w:cs="宋体"/>
          <w:b w:val="0"/>
          <w:i w:val="0"/>
          <w:color w:val="000000"/>
          <w:sz w:val="18"/>
        </w:rPr>
        <w:t>(3) C方案的项目计算期为12年，包括建设期的静态投资回收期为7年，净现值为 70000元。</w:t>
      </w:r>
    </w:p>
    <w:p w14:paraId="6EDA99E9">
      <w:pPr>
        <w:wordWrap/>
        <w:autoSpaceDE w:val="0"/>
        <w:autoSpaceDN w:val="0"/>
        <w:spacing w:before="160" w:after="0" w:line="280" w:lineRule="atLeast"/>
        <w:ind w:left="760" w:right="0"/>
        <w:jc w:val="both"/>
        <w:textAlignment w:val="auto"/>
        <w:rPr>
          <w:sz w:val="18"/>
        </w:rPr>
      </w:pPr>
      <w:r>
        <w:rPr>
          <w:rFonts w:ascii="宋体" w:hAnsi="宋体" w:eastAsia="宋体" w:cs="宋体"/>
          <w:b w:val="0"/>
          <w:i w:val="0"/>
          <w:color w:val="000000"/>
          <w:sz w:val="18"/>
        </w:rPr>
        <w:t>要求：</w:t>
      </w:r>
    </w:p>
    <w:p w14:paraId="2EABDA77">
      <w:pPr>
        <w:wordWrap/>
        <w:autoSpaceDE w:val="0"/>
        <w:autoSpaceDN w:val="0"/>
        <w:spacing w:before="220" w:after="0" w:line="280" w:lineRule="atLeast"/>
        <w:ind w:left="760" w:right="0"/>
        <w:jc w:val="both"/>
        <w:textAlignment w:val="auto"/>
        <w:rPr>
          <w:sz w:val="18"/>
        </w:rPr>
      </w:pPr>
      <w:r>
        <w:rPr>
          <w:rFonts w:ascii="宋体" w:hAnsi="宋体" w:eastAsia="宋体" w:cs="宋体"/>
          <w:b w:val="0"/>
          <w:i w:val="0"/>
          <w:color w:val="000000"/>
          <w:sz w:val="18"/>
        </w:rPr>
        <w:t>(1) 计算或指出A方案的下列指标：①包括建设期的静态投资回收期； ②净现值。</w:t>
      </w:r>
    </w:p>
    <w:p w14:paraId="7625F73E">
      <w:pPr>
        <w:wordWrap/>
        <w:autoSpaceDE w:val="0"/>
        <w:autoSpaceDN w:val="0"/>
        <w:spacing w:before="160" w:after="0" w:line="280" w:lineRule="atLeast"/>
        <w:ind w:left="760" w:right="0"/>
        <w:jc w:val="both"/>
        <w:textAlignment w:val="auto"/>
        <w:rPr>
          <w:sz w:val="18"/>
        </w:rPr>
      </w:pPr>
      <w:r>
        <w:rPr>
          <w:rFonts w:ascii="宋体" w:hAnsi="宋体" w:eastAsia="宋体" w:cs="宋体"/>
          <w:b w:val="0"/>
          <w:i w:val="0"/>
          <w:color w:val="000000"/>
          <w:sz w:val="18"/>
        </w:rPr>
        <w:t>(2) 评价A、B、C三个方案的财务可行性。</w:t>
      </w:r>
    </w:p>
    <w:p w14:paraId="6AF651F1">
      <w:pPr>
        <w:wordWrap/>
        <w:autoSpaceDE w:val="0"/>
        <w:autoSpaceDN w:val="0"/>
        <w:spacing w:before="220" w:after="0" w:line="280" w:lineRule="atLeast"/>
        <w:ind w:left="760" w:right="0"/>
        <w:jc w:val="both"/>
        <w:textAlignment w:val="auto"/>
        <w:rPr>
          <w:sz w:val="18"/>
        </w:rPr>
      </w:pPr>
      <w:r>
        <w:rPr>
          <w:rFonts w:ascii="宋体" w:hAnsi="宋体" w:eastAsia="宋体" w:cs="宋体"/>
          <w:b w:val="0"/>
          <w:i w:val="0"/>
          <w:color w:val="000000"/>
          <w:sz w:val="18"/>
        </w:rPr>
        <w:t>(3) 计算C方案的年等额净回收额。</w:t>
      </w:r>
    </w:p>
    <w:p w14:paraId="32745945">
      <w:pPr>
        <w:wordWrap/>
        <w:autoSpaceDE w:val="0"/>
        <w:autoSpaceDN w:val="0"/>
        <w:spacing w:before="160" w:after="0" w:line="280" w:lineRule="atLeast"/>
        <w:ind w:left="760" w:right="0"/>
        <w:jc w:val="both"/>
        <w:textAlignment w:val="auto"/>
        <w:rPr>
          <w:sz w:val="18"/>
        </w:rPr>
      </w:pPr>
      <w:r>
        <w:rPr>
          <w:rFonts w:ascii="宋体" w:hAnsi="宋体" w:eastAsia="宋体" w:cs="宋体"/>
          <w:b w:val="0"/>
          <w:i w:val="0"/>
          <w:color w:val="000000"/>
          <w:sz w:val="18"/>
        </w:rPr>
        <w:t>(4) 按计算期统一法的最短计算期法计算B方案调整后的净现值(计算结果保留整数)。</w:t>
      </w:r>
    </w:p>
    <w:p w14:paraId="77B9FC4F">
      <w:pPr>
        <w:wordWrap/>
        <w:autoSpaceDE w:val="0"/>
        <w:autoSpaceDN w:val="0"/>
        <w:spacing w:before="20" w:after="0" w:line="450" w:lineRule="atLeast"/>
        <w:ind w:left="680" w:right="480" w:firstLine="80"/>
        <w:jc w:val="both"/>
        <w:textAlignment w:val="auto"/>
        <w:rPr>
          <w:sz w:val="18"/>
        </w:rPr>
      </w:pPr>
      <w:r>
        <w:rPr>
          <w:rFonts w:ascii="宋体" w:hAnsi="宋体" w:eastAsia="宋体" w:cs="宋体"/>
          <w:b w:val="0"/>
          <w:i w:val="0"/>
          <w:color w:val="000000"/>
          <w:sz w:val="18"/>
        </w:rPr>
        <w:t>(5) 分别用年等额净回收额法和最短计算期法作出投资决策(已知最短计算期为6年，A、C方案调整后净现值分别为30344元和44755元)。</w:t>
      </w:r>
    </w:p>
    <w:p w14:paraId="0438ED00">
      <w:pPr>
        <w:wordWrap/>
        <w:autoSpaceDE w:val="0"/>
        <w:autoSpaceDN w:val="0"/>
        <w:spacing w:before="200" w:after="0" w:line="280" w:lineRule="atLeast"/>
        <w:ind w:left="760" w:right="0"/>
        <w:jc w:val="both"/>
        <w:textAlignment w:val="auto"/>
        <w:rPr>
          <w:sz w:val="18"/>
        </w:rPr>
      </w:pPr>
      <w:r>
        <w:rPr>
          <w:rFonts w:ascii="宋体" w:hAnsi="宋体" w:eastAsia="宋体" w:cs="宋体"/>
          <w:b w:val="0"/>
          <w:i w:val="0"/>
          <w:color w:val="000000"/>
          <w:sz w:val="18"/>
        </w:rPr>
        <w:t>部分时间价值系数如下：</w:t>
      </w:r>
    </w:p>
    <w:p w14:paraId="244566CD">
      <w:pPr>
        <w:wordWrap/>
        <w:spacing w:before="0" w:after="0" w:line="160" w:lineRule="exact"/>
        <w:ind w:left="0" w:right="0"/>
        <w:textAlignment w:val="auto"/>
      </w:pPr>
    </w:p>
    <w:tbl>
      <w:tblPr>
        <w:tblStyle w:val="2"/>
        <w:tblW w:w="0" w:type="auto"/>
        <w:tblInd w:w="28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2120"/>
        <w:gridCol w:w="2140"/>
        <w:gridCol w:w="2240"/>
        <w:gridCol w:w="2060"/>
      </w:tblGrid>
      <w:tr w14:paraId="5E75841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60" w:hRule="atLeast"/>
        </w:trPr>
        <w:tc>
          <w:tcPr>
            <w:tcW w:w="2120" w:type="dxa"/>
            <w:vAlign w:val="center"/>
          </w:tcPr>
          <w:p w14:paraId="187E3944">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t</w:t>
            </w:r>
          </w:p>
        </w:tc>
        <w:tc>
          <w:tcPr>
            <w:tcW w:w="2140" w:type="dxa"/>
            <w:vAlign w:val="center"/>
          </w:tcPr>
          <w:p w14:paraId="588E7734">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6</w:t>
            </w:r>
          </w:p>
        </w:tc>
        <w:tc>
          <w:tcPr>
            <w:tcW w:w="2240" w:type="dxa"/>
            <w:vAlign w:val="center"/>
          </w:tcPr>
          <w:p w14:paraId="1006BB8F">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8</w:t>
            </w:r>
          </w:p>
        </w:tc>
        <w:tc>
          <w:tcPr>
            <w:tcW w:w="2060" w:type="dxa"/>
            <w:vAlign w:val="center"/>
          </w:tcPr>
          <w:p w14:paraId="27775D11">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12</w:t>
            </w:r>
          </w:p>
        </w:tc>
      </w:tr>
      <w:tr w14:paraId="75F6AF0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60" w:hRule="atLeast"/>
        </w:trPr>
        <w:tc>
          <w:tcPr>
            <w:tcW w:w="2120" w:type="dxa"/>
            <w:vAlign w:val="center"/>
          </w:tcPr>
          <w:p w14:paraId="6530A7CB">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10%的年金现值系数</w:t>
            </w:r>
          </w:p>
        </w:tc>
        <w:tc>
          <w:tcPr>
            <w:tcW w:w="2140" w:type="dxa"/>
            <w:vAlign w:val="center"/>
          </w:tcPr>
          <w:p w14:paraId="1C037D86">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4.3553</w:t>
            </w:r>
          </w:p>
        </w:tc>
        <w:tc>
          <w:tcPr>
            <w:tcW w:w="2240" w:type="dxa"/>
            <w:vAlign w:val="center"/>
          </w:tcPr>
          <w:p w14:paraId="323EA371">
            <w:pPr>
              <w:wordWrap/>
              <w:spacing w:before="0" w:after="0" w:line="240" w:lineRule="exact"/>
              <w:ind w:left="0" w:right="0"/>
              <w:jc w:val="both"/>
              <w:textAlignment w:val="auto"/>
            </w:pPr>
          </w:p>
        </w:tc>
        <w:tc>
          <w:tcPr>
            <w:tcW w:w="2060" w:type="dxa"/>
            <w:vAlign w:val="center"/>
          </w:tcPr>
          <w:p w14:paraId="18BBC367">
            <w:pPr>
              <w:wordWrap/>
              <w:spacing w:before="0" w:after="0" w:line="240" w:lineRule="exact"/>
              <w:ind w:left="0" w:right="0"/>
              <w:jc w:val="both"/>
              <w:textAlignment w:val="auto"/>
            </w:pPr>
          </w:p>
        </w:tc>
      </w:tr>
      <w:tr w14:paraId="3FEE5EE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40" w:hRule="atLeast"/>
        </w:trPr>
        <w:tc>
          <w:tcPr>
            <w:tcW w:w="2120" w:type="dxa"/>
            <w:vAlign w:val="center"/>
          </w:tcPr>
          <w:p w14:paraId="6ACFFC2F">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10%的回收系数</w:t>
            </w:r>
          </w:p>
        </w:tc>
        <w:tc>
          <w:tcPr>
            <w:tcW w:w="2140" w:type="dxa"/>
            <w:vAlign w:val="center"/>
          </w:tcPr>
          <w:p w14:paraId="08B6E8AD">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0.2296</w:t>
            </w:r>
          </w:p>
        </w:tc>
        <w:tc>
          <w:tcPr>
            <w:tcW w:w="2240" w:type="dxa"/>
            <w:vAlign w:val="center"/>
          </w:tcPr>
          <w:p w14:paraId="6FC90EA2">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0.1874</w:t>
            </w:r>
          </w:p>
        </w:tc>
        <w:tc>
          <w:tcPr>
            <w:tcW w:w="2060" w:type="dxa"/>
            <w:vAlign w:val="center"/>
          </w:tcPr>
          <w:p w14:paraId="6B8AC488">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0.1468</w:t>
            </w:r>
          </w:p>
        </w:tc>
      </w:tr>
    </w:tbl>
    <w:p w14:paraId="1390D0C5">
      <w:pPr>
        <w:wordWrap/>
        <w:autoSpaceDE w:val="0"/>
        <w:autoSpaceDN w:val="0"/>
        <w:spacing w:before="2480" w:after="0" w:line="260" w:lineRule="atLeast"/>
        <w:ind w:left="1600" w:right="0"/>
        <w:jc w:val="both"/>
        <w:textAlignment w:val="auto"/>
        <w:rPr>
          <w:sz w:val="18"/>
        </w:rPr>
      </w:pPr>
      <w:r>
        <w:rPr>
          <w:rFonts w:ascii="宋体" w:hAnsi="宋体" w:eastAsia="宋体" w:cs="宋体"/>
          <w:b w:val="0"/>
          <w:i w:val="0"/>
          <w:color w:val="000000"/>
          <w:sz w:val="18"/>
        </w:rPr>
        <w:t>2005年中级会计职称考试《财务管理》真题及答案解析</w:t>
      </w:r>
    </w:p>
    <w:p w14:paraId="49BBE140">
      <w:pPr>
        <w:wordWrap/>
        <w:autoSpaceDE w:val="0"/>
        <w:autoSpaceDN w:val="0"/>
        <w:spacing w:before="300" w:after="0" w:line="260" w:lineRule="atLeast"/>
        <w:ind w:left="4200" w:right="0"/>
        <w:jc w:val="both"/>
        <w:textAlignment w:val="auto"/>
        <w:rPr>
          <w:sz w:val="16"/>
        </w:rPr>
      </w:pPr>
      <w:r>
        <w:rPr>
          <w:rFonts w:ascii="宋体" w:hAnsi="宋体" w:eastAsia="宋体" w:cs="宋体"/>
          <w:b w:val="0"/>
          <w:i w:val="0"/>
          <w:color w:val="000000"/>
          <w:sz w:val="16"/>
        </w:rPr>
        <w:t>一、单项选择题</w:t>
      </w:r>
      <w:r>
        <w:br w:type="page"/>
      </w:r>
    </w:p>
    <w:p w14:paraId="404DB52E">
      <w:pPr>
        <w:wordWrap/>
        <w:autoSpaceDE w:val="0"/>
        <w:autoSpaceDN w:val="0"/>
        <w:spacing w:before="440" w:after="0" w:line="480" w:lineRule="atLeast"/>
        <w:ind w:left="180" w:right="540"/>
        <w:jc w:val="both"/>
        <w:textAlignment w:val="auto"/>
        <w:rPr>
          <w:sz w:val="17"/>
        </w:rPr>
      </w:pPr>
      <w:r>
        <w:rPr>
          <w:rFonts w:ascii="宋体" w:hAnsi="宋体" w:eastAsia="宋体" w:cs="宋体"/>
          <w:b w:val="0"/>
          <w:i w:val="0"/>
          <w:color w:val="000000"/>
          <w:sz w:val="17"/>
        </w:rPr>
        <w:t>1.某种股票的期望收益率为10%，其标准离差为0.04，风险价值系数为 30%，则该股票的风险收益率为()。</w:t>
      </w:r>
    </w:p>
    <w:p w14:paraId="414C0AA5">
      <w:pPr>
        <w:wordWrap/>
        <w:autoSpaceDE w:val="0"/>
        <w:autoSpaceDN w:val="0"/>
        <w:spacing w:before="200" w:after="0" w:line="260" w:lineRule="atLeast"/>
        <w:ind w:left="700" w:right="0"/>
        <w:jc w:val="both"/>
        <w:textAlignment w:val="auto"/>
        <w:rPr>
          <w:sz w:val="24"/>
        </w:rPr>
      </w:pPr>
      <w:r>
        <w:rPr>
          <w:rFonts w:ascii="宋体" w:hAnsi="宋体" w:eastAsia="宋体" w:cs="宋体"/>
          <w:b w:val="0"/>
          <w:i w:val="0"/>
          <w:color w:val="000000"/>
          <w:sz w:val="17"/>
        </w:rPr>
        <w:t>A. 40%</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7"/>
        </w:rPr>
        <w:t>B. 12%</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7"/>
        </w:rPr>
        <w:t>C. 6%</w:t>
      </w:r>
      <w:r>
        <w:rPr>
          <w:rFonts w:ascii="宋体" w:hAnsi="宋体" w:eastAsia="宋体" w:cs="宋体"/>
          <w:sz w:val="24"/>
        </w:rPr>
        <w:t xml:space="preserve">            </w:t>
      </w:r>
      <w:r>
        <w:rPr>
          <w:rFonts w:ascii="宋体" w:hAnsi="宋体" w:eastAsia="宋体" w:cs="宋体"/>
          <w:b w:val="0"/>
          <w:i w:val="0"/>
          <w:color w:val="000000"/>
          <w:sz w:val="17"/>
        </w:rPr>
        <w:t>D. 3%</w:t>
      </w:r>
    </w:p>
    <w:p w14:paraId="52E6EF68">
      <w:pPr>
        <w:wordWrap/>
        <w:autoSpaceDE w:val="0"/>
        <w:autoSpaceDN w:val="0"/>
        <w:spacing w:before="200" w:after="0" w:line="260" w:lineRule="atLeast"/>
        <w:ind w:left="700" w:right="0"/>
        <w:jc w:val="both"/>
        <w:textAlignment w:val="auto"/>
        <w:rPr>
          <w:sz w:val="17"/>
        </w:rPr>
      </w:pPr>
      <w:r>
        <w:rPr>
          <w:rFonts w:ascii="宋体" w:hAnsi="宋体" w:eastAsia="宋体" w:cs="宋体"/>
          <w:b w:val="0"/>
          <w:i w:val="0"/>
          <w:color w:val="000000"/>
          <w:sz w:val="17"/>
        </w:rPr>
        <w:t>[答案]B</w:t>
      </w:r>
    </w:p>
    <w:p w14:paraId="283CEF48">
      <w:pPr>
        <w:wordWrap/>
        <w:autoSpaceDE w:val="0"/>
        <w:autoSpaceDN w:val="0"/>
        <w:spacing w:before="200" w:after="0" w:line="280" w:lineRule="atLeast"/>
        <w:ind w:left="700" w:right="0"/>
        <w:jc w:val="both"/>
        <w:textAlignment w:val="auto"/>
        <w:rPr>
          <w:sz w:val="17"/>
        </w:rPr>
      </w:pPr>
      <w:r>
        <w:rPr>
          <w:rFonts w:ascii="宋体" w:hAnsi="宋体" w:eastAsia="宋体" w:cs="宋体"/>
          <w:b w:val="0"/>
          <w:i w:val="0"/>
          <w:color w:val="000000"/>
          <w:sz w:val="17"/>
        </w:rPr>
        <w:t>[解析]标准离差率=标准离差/期望值=0.04/10%=0.4</w:t>
      </w:r>
    </w:p>
    <w:p w14:paraId="38E0C8F8">
      <w:pPr>
        <w:wordWrap/>
        <w:autoSpaceDE w:val="0"/>
        <w:autoSpaceDN w:val="0"/>
        <w:spacing w:before="200" w:after="0" w:line="280" w:lineRule="atLeast"/>
        <w:ind w:left="1420" w:right="0"/>
        <w:jc w:val="both"/>
        <w:textAlignment w:val="auto"/>
        <w:rPr>
          <w:sz w:val="17"/>
        </w:rPr>
      </w:pPr>
      <w:r>
        <w:rPr>
          <w:rFonts w:ascii="宋体" w:hAnsi="宋体" w:eastAsia="宋体" w:cs="宋体"/>
          <w:b w:val="0"/>
          <w:i w:val="0"/>
          <w:color w:val="000000"/>
          <w:sz w:val="17"/>
        </w:rPr>
        <w:t>风险收益率=风险价值系数×标准离差率=0.4×30%=12%。(教材P53)</w:t>
      </w:r>
    </w:p>
    <w:p w14:paraId="2D88B8F6">
      <w:pPr>
        <w:wordWrap/>
        <w:autoSpaceDE w:val="0"/>
        <w:autoSpaceDN w:val="0"/>
        <w:spacing w:before="180" w:after="0" w:line="260" w:lineRule="atLeast"/>
        <w:ind w:left="180" w:right="0"/>
        <w:jc w:val="both"/>
        <w:textAlignment w:val="auto"/>
        <w:rPr>
          <w:sz w:val="17"/>
        </w:rPr>
      </w:pPr>
      <w:r>
        <w:rPr>
          <w:rFonts w:ascii="宋体" w:hAnsi="宋体" w:eastAsia="宋体" w:cs="宋体"/>
          <w:b w:val="0"/>
          <w:i w:val="0"/>
          <w:color w:val="000000"/>
          <w:sz w:val="17"/>
        </w:rPr>
        <w:t>2.根据财务管理理论，按照资金来源渠道不同，可将筹资分为 ( )。</w:t>
      </w:r>
    </w:p>
    <w:p w14:paraId="59B827B8">
      <w:pPr>
        <w:wordWrap/>
        <w:autoSpaceDE w:val="0"/>
        <w:autoSpaceDN w:val="0"/>
        <w:spacing w:before="220" w:after="0" w:line="260" w:lineRule="atLeast"/>
        <w:ind w:left="700" w:right="0"/>
        <w:jc w:val="both"/>
        <w:textAlignment w:val="auto"/>
        <w:rPr>
          <w:sz w:val="24"/>
        </w:rPr>
      </w:pPr>
      <w:r>
        <w:rPr>
          <w:rFonts w:ascii="宋体" w:hAnsi="宋体" w:eastAsia="宋体" w:cs="宋体"/>
          <w:b w:val="0"/>
          <w:i w:val="0"/>
          <w:color w:val="000000"/>
          <w:sz w:val="17"/>
        </w:rPr>
        <w:t>A. 直接筹资和间接筹资</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7"/>
        </w:rPr>
        <w:t>B. 内源筹资和外源筹资</w:t>
      </w:r>
    </w:p>
    <w:p w14:paraId="2554CFE0">
      <w:pPr>
        <w:wordWrap/>
        <w:autoSpaceDE w:val="0"/>
        <w:autoSpaceDN w:val="0"/>
        <w:spacing w:before="200" w:after="0" w:line="260" w:lineRule="atLeast"/>
        <w:ind w:left="700" w:right="0"/>
        <w:jc w:val="both"/>
        <w:textAlignment w:val="auto"/>
        <w:rPr>
          <w:sz w:val="24"/>
        </w:rPr>
      </w:pPr>
      <w:r>
        <w:rPr>
          <w:rFonts w:ascii="宋体" w:hAnsi="宋体" w:eastAsia="宋体" w:cs="宋体"/>
          <w:b w:val="0"/>
          <w:i w:val="0"/>
          <w:color w:val="000000"/>
          <w:sz w:val="17"/>
        </w:rPr>
        <w:t>C. 权益筹资和负债筹资</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7"/>
        </w:rPr>
        <w:t>D. 短期筹资和长期筹资</w:t>
      </w:r>
    </w:p>
    <w:p w14:paraId="613D5ED6">
      <w:pPr>
        <w:wordWrap/>
        <w:autoSpaceDE w:val="0"/>
        <w:autoSpaceDN w:val="0"/>
        <w:spacing w:before="220" w:after="0" w:line="260" w:lineRule="atLeast"/>
        <w:ind w:left="700" w:right="0"/>
        <w:jc w:val="both"/>
        <w:textAlignment w:val="auto"/>
        <w:rPr>
          <w:sz w:val="17"/>
        </w:rPr>
      </w:pPr>
      <w:r>
        <w:rPr>
          <w:rFonts w:ascii="宋体" w:hAnsi="宋体" w:eastAsia="宋体" w:cs="宋体"/>
          <w:b w:val="0"/>
          <w:i w:val="0"/>
          <w:color w:val="000000"/>
          <w:sz w:val="17"/>
        </w:rPr>
        <w:t>[答案]C</w:t>
      </w:r>
    </w:p>
    <w:p w14:paraId="720C9C73">
      <w:pPr>
        <w:wordWrap/>
        <w:autoSpaceDE w:val="0"/>
        <w:autoSpaceDN w:val="0"/>
        <w:spacing w:before="220" w:after="0" w:line="260" w:lineRule="atLeast"/>
        <w:ind w:left="700" w:right="0"/>
        <w:jc w:val="both"/>
        <w:textAlignment w:val="auto"/>
        <w:rPr>
          <w:sz w:val="17"/>
        </w:rPr>
      </w:pPr>
      <w:r>
        <w:rPr>
          <w:rFonts w:ascii="宋体" w:hAnsi="宋体" w:eastAsia="宋体" w:cs="宋体"/>
          <w:b w:val="0"/>
          <w:i w:val="0"/>
          <w:color w:val="000000"/>
          <w:sz w:val="17"/>
        </w:rPr>
        <w:t>[解析]按照资金来源渠道不同，可将筹资分为权益筹资和负债筹资。(教材P56)</w:t>
      </w:r>
    </w:p>
    <w:p w14:paraId="4BA2836C">
      <w:pPr>
        <w:wordWrap/>
        <w:autoSpaceDE w:val="0"/>
        <w:autoSpaceDN w:val="0"/>
        <w:spacing w:before="20" w:after="0" w:line="440" w:lineRule="atLeast"/>
        <w:ind w:left="180" w:right="420"/>
        <w:jc w:val="both"/>
        <w:textAlignment w:val="auto"/>
        <w:rPr>
          <w:sz w:val="17"/>
        </w:rPr>
      </w:pPr>
      <w:r>
        <w:rPr>
          <w:rFonts w:ascii="宋体" w:hAnsi="宋体" w:eastAsia="宋体" w:cs="宋体"/>
          <w:b w:val="0"/>
          <w:i w:val="0"/>
          <w:color w:val="000000"/>
          <w:sz w:val="17"/>
        </w:rPr>
        <w:t>3.某企业按年率5.8%向银行借款1000万元，银行要求保留15%的补偿性余额，则这项借款的实际利率约为 ()。</w:t>
      </w:r>
    </w:p>
    <w:p w14:paraId="3C0269B7">
      <w:pPr>
        <w:wordWrap/>
        <w:autoSpaceDE w:val="0"/>
        <w:autoSpaceDN w:val="0"/>
        <w:spacing w:before="180" w:after="0" w:line="280" w:lineRule="atLeast"/>
        <w:ind w:left="700" w:right="0"/>
        <w:jc w:val="both"/>
        <w:textAlignment w:val="auto"/>
        <w:rPr>
          <w:sz w:val="24"/>
        </w:rPr>
      </w:pPr>
      <w:r>
        <w:rPr>
          <w:rFonts w:ascii="宋体" w:hAnsi="宋体" w:eastAsia="宋体" w:cs="宋体"/>
          <w:b w:val="0"/>
          <w:i w:val="0"/>
          <w:color w:val="000000"/>
          <w:sz w:val="17"/>
        </w:rPr>
        <w:t>A. 5.8%</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7"/>
        </w:rPr>
        <w:t>B. 6.4%</w:t>
      </w:r>
      <w:r>
        <w:rPr>
          <w:rFonts w:ascii="宋体" w:hAnsi="宋体" w:eastAsia="宋体" w:cs="宋体"/>
          <w:sz w:val="24"/>
        </w:rPr>
        <w:t xml:space="preserve">           </w:t>
      </w:r>
      <w:r>
        <w:rPr>
          <w:rFonts w:ascii="宋体" w:hAnsi="宋体" w:eastAsia="宋体" w:cs="宋体"/>
          <w:b w:val="0"/>
          <w:i w:val="0"/>
          <w:color w:val="000000"/>
          <w:sz w:val="17"/>
        </w:rPr>
        <w:t>C. 6.8%</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7"/>
        </w:rPr>
        <w:t>D. 7.3%</w:t>
      </w:r>
    </w:p>
    <w:p w14:paraId="1091F6F3">
      <w:pPr>
        <w:wordWrap/>
        <w:autoSpaceDE w:val="0"/>
        <w:autoSpaceDN w:val="0"/>
        <w:spacing w:before="220" w:after="0" w:line="260" w:lineRule="atLeast"/>
        <w:ind w:left="700" w:right="0"/>
        <w:jc w:val="both"/>
        <w:textAlignment w:val="auto"/>
        <w:rPr>
          <w:sz w:val="17"/>
        </w:rPr>
      </w:pPr>
      <w:r>
        <w:rPr>
          <w:rFonts w:ascii="宋体" w:hAnsi="宋体" w:eastAsia="宋体" w:cs="宋体"/>
          <w:b w:val="0"/>
          <w:i w:val="0"/>
          <w:color w:val="000000"/>
          <w:sz w:val="17"/>
        </w:rPr>
        <w:t>[答案]C</w:t>
      </w:r>
    </w:p>
    <w:p w14:paraId="60A8406B">
      <w:pPr>
        <w:wordWrap/>
        <w:autoSpaceDE w:val="0"/>
        <w:autoSpaceDN w:val="0"/>
        <w:spacing w:before="220" w:after="0" w:line="260" w:lineRule="atLeast"/>
        <w:ind w:left="700" w:right="0"/>
        <w:jc w:val="both"/>
        <w:textAlignment w:val="auto"/>
        <w:rPr>
          <w:sz w:val="17"/>
        </w:rPr>
      </w:pPr>
      <w:r>
        <w:rPr>
          <w:rFonts w:ascii="宋体" w:hAnsi="宋体" w:eastAsia="宋体" w:cs="宋体"/>
          <w:b w:val="0"/>
          <w:i w:val="0"/>
          <w:color w:val="000000"/>
          <w:sz w:val="17"/>
        </w:rPr>
        <w:t>[解析]实际利率=5.8%/(1-15%) ×100%=6.8%。(教材P100)</w:t>
      </w:r>
    </w:p>
    <w:p w14:paraId="6E9D2879">
      <w:pPr>
        <w:wordWrap/>
        <w:autoSpaceDE w:val="0"/>
        <w:autoSpaceDN w:val="0"/>
        <w:spacing w:before="180" w:after="0" w:line="260" w:lineRule="atLeast"/>
        <w:ind w:left="180" w:right="0"/>
        <w:jc w:val="both"/>
        <w:textAlignment w:val="auto"/>
        <w:rPr>
          <w:sz w:val="17"/>
        </w:rPr>
      </w:pPr>
      <w:r>
        <w:rPr>
          <w:rFonts w:ascii="宋体" w:hAnsi="宋体" w:eastAsia="宋体" w:cs="宋体"/>
          <w:b w:val="0"/>
          <w:i w:val="0"/>
          <w:color w:val="000000"/>
          <w:sz w:val="17"/>
        </w:rPr>
        <w:t>4.在计算优先股成本时，下列各因素中，不需要考虑的是( )。</w:t>
      </w:r>
    </w:p>
    <w:p w14:paraId="7073E06C">
      <w:pPr>
        <w:wordWrap/>
        <w:autoSpaceDE w:val="0"/>
        <w:autoSpaceDN w:val="0"/>
        <w:spacing w:before="200" w:after="0" w:line="280" w:lineRule="atLeast"/>
        <w:ind w:left="700" w:right="0"/>
        <w:jc w:val="both"/>
        <w:textAlignment w:val="auto"/>
        <w:rPr>
          <w:sz w:val="24"/>
        </w:rPr>
      </w:pPr>
      <w:r>
        <w:rPr>
          <w:rFonts w:ascii="宋体" w:hAnsi="宋体" w:eastAsia="宋体" w:cs="宋体"/>
          <w:b w:val="0"/>
          <w:i w:val="0"/>
          <w:color w:val="000000"/>
          <w:sz w:val="17"/>
        </w:rPr>
        <w:t>A. 发行优先股总额</w:t>
      </w:r>
      <w:r>
        <w:rPr>
          <w:rFonts w:ascii="宋体" w:hAnsi="宋体" w:eastAsia="宋体" w:cs="宋体"/>
          <w:sz w:val="24"/>
        </w:rPr>
        <w:t xml:space="preserve">                   </w:t>
      </w:r>
      <w:r>
        <w:rPr>
          <w:rFonts w:ascii="宋体" w:hAnsi="宋体" w:eastAsia="宋体" w:cs="宋体"/>
          <w:b w:val="0"/>
          <w:i w:val="0"/>
          <w:color w:val="000000"/>
          <w:sz w:val="17"/>
        </w:rPr>
        <w:t>B. 优先股筹资费率</w:t>
      </w:r>
    </w:p>
    <w:p w14:paraId="38B12E04">
      <w:pPr>
        <w:wordWrap/>
        <w:autoSpaceDE w:val="0"/>
        <w:autoSpaceDN w:val="0"/>
        <w:spacing w:before="200" w:after="0" w:line="280" w:lineRule="atLeast"/>
        <w:ind w:left="700" w:right="0"/>
        <w:jc w:val="both"/>
        <w:textAlignment w:val="auto"/>
        <w:rPr>
          <w:sz w:val="24"/>
        </w:rPr>
      </w:pPr>
      <w:r>
        <w:rPr>
          <w:rFonts w:ascii="宋体" w:hAnsi="宋体" w:eastAsia="宋体" w:cs="宋体"/>
          <w:b w:val="0"/>
          <w:i w:val="0"/>
          <w:color w:val="000000"/>
          <w:sz w:val="17"/>
        </w:rPr>
        <w:t>C. 优先股的优先权</w:t>
      </w:r>
      <w:r>
        <w:rPr>
          <w:rFonts w:ascii="宋体" w:hAnsi="宋体" w:eastAsia="宋体" w:cs="宋体"/>
          <w:sz w:val="24"/>
        </w:rPr>
        <w:t xml:space="preserve">                   </w:t>
      </w:r>
      <w:r>
        <w:rPr>
          <w:rFonts w:ascii="宋体" w:hAnsi="宋体" w:eastAsia="宋体" w:cs="宋体"/>
          <w:b w:val="0"/>
          <w:i w:val="0"/>
          <w:color w:val="000000"/>
          <w:sz w:val="17"/>
        </w:rPr>
        <w:t>D. 优先股每年的股利</w:t>
      </w:r>
    </w:p>
    <w:p w14:paraId="01111D6B">
      <w:pPr>
        <w:wordWrap/>
        <w:autoSpaceDE w:val="0"/>
        <w:autoSpaceDN w:val="0"/>
        <w:spacing w:before="200" w:after="0" w:line="260" w:lineRule="atLeast"/>
        <w:ind w:left="700" w:right="0"/>
        <w:jc w:val="both"/>
        <w:textAlignment w:val="auto"/>
        <w:rPr>
          <w:sz w:val="17"/>
        </w:rPr>
      </w:pPr>
      <w:r>
        <w:rPr>
          <w:rFonts w:ascii="宋体" w:hAnsi="宋体" w:eastAsia="宋体" w:cs="宋体"/>
          <w:b w:val="0"/>
          <w:i w:val="0"/>
          <w:color w:val="000000"/>
          <w:sz w:val="17"/>
        </w:rPr>
        <w:t>[答案]C</w:t>
      </w:r>
    </w:p>
    <w:p w14:paraId="0FB54576">
      <w:pPr>
        <w:wordWrap/>
        <w:autoSpaceDE w:val="0"/>
        <w:autoSpaceDN w:val="0"/>
        <w:spacing w:before="40" w:after="0" w:line="440" w:lineRule="atLeast"/>
        <w:ind w:left="700" w:right="460"/>
        <w:jc w:val="both"/>
        <w:textAlignment w:val="auto"/>
        <w:rPr>
          <w:sz w:val="17"/>
        </w:rPr>
      </w:pPr>
      <w:r>
        <w:rPr>
          <w:rFonts w:ascii="宋体" w:hAnsi="宋体" w:eastAsia="宋体" w:cs="宋体"/>
          <w:b w:val="0"/>
          <w:i w:val="0"/>
          <w:color w:val="000000"/>
          <w:sz w:val="17"/>
        </w:rPr>
        <w:t>[解析]优先股成本=优先股每年股利/[发行优先股总额×(1-优先股筹资费率) ]，其中并未涉及到优先股的优先权。(教材P127)</w:t>
      </w:r>
    </w:p>
    <w:p w14:paraId="1C8E8B08">
      <w:pPr>
        <w:wordWrap/>
        <w:autoSpaceDE w:val="0"/>
        <w:autoSpaceDN w:val="0"/>
        <w:spacing w:before="220" w:after="0" w:line="260" w:lineRule="atLeast"/>
        <w:ind w:left="180" w:right="0"/>
        <w:jc w:val="both"/>
        <w:textAlignment w:val="auto"/>
        <w:rPr>
          <w:sz w:val="17"/>
        </w:rPr>
      </w:pPr>
      <w:r>
        <w:rPr>
          <w:rFonts w:ascii="宋体" w:hAnsi="宋体" w:eastAsia="宋体" w:cs="宋体"/>
          <w:b w:val="0"/>
          <w:i w:val="0"/>
          <w:color w:val="000000"/>
          <w:sz w:val="17"/>
        </w:rPr>
        <w:t>5.下列各项中，运用普通股每股利润(每股收益) 无差别点确定最佳资金结构时，需计算的指标是()。</w:t>
      </w:r>
    </w:p>
    <w:p w14:paraId="160D948C">
      <w:pPr>
        <w:wordWrap/>
        <w:autoSpaceDE w:val="0"/>
        <w:autoSpaceDN w:val="0"/>
        <w:spacing w:before="140" w:after="0" w:line="300" w:lineRule="atLeast"/>
        <w:ind w:left="700" w:right="0"/>
        <w:jc w:val="both"/>
        <w:textAlignment w:val="auto"/>
        <w:rPr>
          <w:sz w:val="24"/>
        </w:rPr>
      </w:pPr>
      <w:r>
        <w:rPr>
          <w:rFonts w:ascii="宋体" w:hAnsi="宋体" w:eastAsia="宋体" w:cs="宋体"/>
          <w:b w:val="0"/>
          <w:i w:val="0"/>
          <w:color w:val="000000"/>
          <w:sz w:val="17"/>
        </w:rPr>
        <w:t>A. 息税前利润</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7"/>
        </w:rPr>
        <w:t>B. 营业利润</w:t>
      </w:r>
      <w:r>
        <w:rPr>
          <w:rFonts w:ascii="宋体" w:hAnsi="宋体" w:eastAsia="宋体" w:cs="宋体"/>
          <w:sz w:val="24"/>
        </w:rPr>
        <w:t xml:space="preserve">        </w:t>
      </w:r>
      <w:r>
        <w:rPr>
          <w:rFonts w:ascii="宋体" w:hAnsi="宋体" w:eastAsia="宋体" w:cs="宋体"/>
          <w:b w:val="0"/>
          <w:i w:val="0"/>
          <w:color w:val="000000"/>
          <w:sz w:val="17"/>
        </w:rPr>
        <w:t>C. 净利润</w:t>
      </w:r>
      <w:r>
        <w:rPr>
          <w:rFonts w:ascii="宋体" w:hAnsi="宋体" w:eastAsia="宋体" w:cs="宋体"/>
          <w:sz w:val="24"/>
        </w:rPr>
        <w:t xml:space="preserve">         </w:t>
      </w:r>
      <w:r>
        <w:rPr>
          <w:rFonts w:ascii="宋体" w:hAnsi="宋体" w:eastAsia="宋体" w:cs="宋体"/>
          <w:b w:val="0"/>
          <w:i w:val="0"/>
          <w:color w:val="000000"/>
          <w:sz w:val="17"/>
        </w:rPr>
        <w:t>D. 利润总额</w:t>
      </w:r>
    </w:p>
    <w:p w14:paraId="57DBC3CD">
      <w:pPr>
        <w:wordWrap/>
        <w:autoSpaceDE w:val="0"/>
        <w:autoSpaceDN w:val="0"/>
        <w:spacing w:before="200" w:after="0" w:line="260" w:lineRule="atLeast"/>
        <w:ind w:left="700" w:right="0"/>
        <w:jc w:val="both"/>
        <w:textAlignment w:val="auto"/>
        <w:rPr>
          <w:sz w:val="17"/>
        </w:rPr>
      </w:pPr>
      <w:r>
        <w:rPr>
          <w:rFonts w:ascii="宋体" w:hAnsi="宋体" w:eastAsia="宋体" w:cs="宋体"/>
          <w:b w:val="0"/>
          <w:i w:val="0"/>
          <w:color w:val="000000"/>
          <w:sz w:val="17"/>
        </w:rPr>
        <w:t>[答案]A</w:t>
      </w:r>
    </w:p>
    <w:p w14:paraId="180AF7B7">
      <w:pPr>
        <w:wordWrap/>
        <w:autoSpaceDE w:val="0"/>
        <w:autoSpaceDN w:val="0"/>
        <w:spacing w:before="40" w:after="0" w:line="440" w:lineRule="atLeast"/>
        <w:ind w:left="700" w:right="480"/>
        <w:jc w:val="both"/>
        <w:textAlignment w:val="auto"/>
        <w:rPr>
          <w:sz w:val="17"/>
        </w:rPr>
      </w:pPr>
      <w:r>
        <w:rPr>
          <w:rFonts w:ascii="宋体" w:hAnsi="宋体" w:eastAsia="宋体" w:cs="宋体"/>
          <w:b w:val="0"/>
          <w:i w:val="0"/>
          <w:color w:val="000000"/>
          <w:sz w:val="17"/>
        </w:rPr>
        <w:t>[解析]每股收益无差别点法就是利用预计的息税前利润与每股收益无差别点的息税前利润的关系进行资金结构决策的。</w:t>
      </w:r>
    </w:p>
    <w:p w14:paraId="4E9FF553">
      <w:pPr>
        <w:wordWrap/>
        <w:autoSpaceDE w:val="0"/>
        <w:autoSpaceDN w:val="0"/>
        <w:spacing w:before="180" w:after="0" w:line="260" w:lineRule="atLeast"/>
        <w:ind w:left="180" w:right="0"/>
        <w:jc w:val="both"/>
        <w:textAlignment w:val="auto"/>
        <w:rPr>
          <w:sz w:val="17"/>
        </w:rPr>
      </w:pPr>
      <w:r>
        <w:rPr>
          <w:rFonts w:ascii="宋体" w:hAnsi="宋体" w:eastAsia="宋体" w:cs="宋体"/>
          <w:b w:val="0"/>
          <w:i w:val="0"/>
          <w:color w:val="000000"/>
          <w:sz w:val="17"/>
        </w:rPr>
        <w:t>6.下列资金结构调整的方法中，属于减量调整的是 ( )。</w:t>
      </w:r>
    </w:p>
    <w:p w14:paraId="1CA5577F">
      <w:pPr>
        <w:wordWrap/>
        <w:autoSpaceDE w:val="0"/>
        <w:autoSpaceDN w:val="0"/>
        <w:spacing w:before="220" w:after="0" w:line="280" w:lineRule="atLeast"/>
        <w:ind w:left="700" w:right="0"/>
        <w:jc w:val="both"/>
        <w:textAlignment w:val="auto"/>
        <w:rPr>
          <w:sz w:val="24"/>
        </w:rPr>
      </w:pPr>
      <w:r>
        <w:rPr>
          <w:rFonts w:ascii="宋体" w:hAnsi="宋体" w:eastAsia="宋体" w:cs="宋体"/>
          <w:b w:val="0"/>
          <w:i w:val="0"/>
          <w:color w:val="000000"/>
          <w:sz w:val="17"/>
        </w:rPr>
        <w:t>A. 债转股</w:t>
      </w:r>
      <w:r>
        <w:rPr>
          <w:rFonts w:ascii="宋体" w:hAnsi="宋体" w:eastAsia="宋体" w:cs="宋体"/>
          <w:sz w:val="24"/>
        </w:rPr>
        <w:t xml:space="preserve">                         </w:t>
      </w:r>
      <w:r>
        <w:rPr>
          <w:rFonts w:ascii="宋体" w:hAnsi="宋体" w:eastAsia="宋体" w:cs="宋体"/>
          <w:b w:val="0"/>
          <w:i w:val="0"/>
          <w:color w:val="000000"/>
          <w:sz w:val="17"/>
        </w:rPr>
        <w:t>B. 发行新债</w:t>
      </w:r>
    </w:p>
    <w:p w14:paraId="6F78366E">
      <w:pPr>
        <w:wordWrap/>
        <w:autoSpaceDE w:val="0"/>
        <w:autoSpaceDN w:val="0"/>
        <w:spacing w:before="200" w:after="0" w:line="260" w:lineRule="atLeast"/>
        <w:ind w:left="700" w:right="0"/>
        <w:jc w:val="both"/>
        <w:textAlignment w:val="auto"/>
        <w:rPr>
          <w:sz w:val="24"/>
        </w:rPr>
      </w:pPr>
      <w:r>
        <w:rPr>
          <w:rFonts w:ascii="宋体" w:hAnsi="宋体" w:eastAsia="宋体" w:cs="宋体"/>
          <w:b w:val="0"/>
          <w:i w:val="0"/>
          <w:color w:val="000000"/>
          <w:sz w:val="17"/>
        </w:rPr>
        <w:t>C. 提前归还借款</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7"/>
        </w:rPr>
        <w:t>D. 增发新股偿还债务</w:t>
      </w:r>
      <w:r>
        <w:br w:type="page"/>
      </w:r>
    </w:p>
    <w:p w14:paraId="3E1F3276">
      <w:pPr>
        <w:wordWrap/>
        <w:autoSpaceDE w:val="0"/>
        <w:autoSpaceDN w:val="0"/>
        <w:spacing w:before="700" w:after="0" w:line="260" w:lineRule="atLeast"/>
        <w:ind w:left="700" w:right="0"/>
        <w:jc w:val="both"/>
        <w:textAlignment w:val="auto"/>
        <w:rPr>
          <w:sz w:val="18"/>
        </w:rPr>
      </w:pPr>
      <w:r>
        <w:rPr>
          <w:rFonts w:ascii="宋体" w:hAnsi="宋体" w:eastAsia="宋体" w:cs="宋体"/>
          <w:b w:val="0"/>
          <w:i w:val="0"/>
          <w:color w:val="000000"/>
          <w:sz w:val="18"/>
        </w:rPr>
        <w:t>[答案]C</w:t>
      </w:r>
    </w:p>
    <w:p w14:paraId="5DD188A3">
      <w:pPr>
        <w:wordWrap/>
        <w:autoSpaceDE w:val="0"/>
        <w:autoSpaceDN w:val="0"/>
        <w:spacing w:before="200" w:after="0" w:line="260" w:lineRule="atLeast"/>
        <w:ind w:left="700" w:right="0"/>
        <w:jc w:val="both"/>
        <w:textAlignment w:val="auto"/>
        <w:rPr>
          <w:sz w:val="18"/>
        </w:rPr>
      </w:pPr>
      <w:r>
        <w:rPr>
          <w:rFonts w:ascii="宋体" w:hAnsi="宋体" w:eastAsia="宋体" w:cs="宋体"/>
          <w:b w:val="0"/>
          <w:i w:val="0"/>
          <w:color w:val="000000"/>
          <w:sz w:val="18"/>
        </w:rPr>
        <w:t>[解析]AD 属于存量调整； B属于增量调整。(教材P171)</w:t>
      </w:r>
    </w:p>
    <w:p w14:paraId="7A657CAB">
      <w:pPr>
        <w:wordWrap/>
        <w:autoSpaceDE w:val="0"/>
        <w:autoSpaceDN w:val="0"/>
        <w:spacing w:before="180" w:after="0" w:line="260" w:lineRule="atLeast"/>
        <w:ind w:left="180" w:right="0"/>
        <w:jc w:val="both"/>
        <w:textAlignment w:val="auto"/>
        <w:rPr>
          <w:sz w:val="18"/>
        </w:rPr>
      </w:pPr>
      <w:r>
        <w:rPr>
          <w:rFonts w:ascii="宋体" w:hAnsi="宋体" w:eastAsia="宋体" w:cs="宋体"/>
          <w:b w:val="0"/>
          <w:i w:val="0"/>
          <w:color w:val="000000"/>
          <w:sz w:val="18"/>
        </w:rPr>
        <w:t>7.将企业投资区分为固定资产投资、流动资金投资、期货与期权投资等类型所依据的分类标志是 ( )。</w:t>
      </w:r>
    </w:p>
    <w:p w14:paraId="74E77CF9">
      <w:pPr>
        <w:wordWrap/>
        <w:autoSpaceDE w:val="0"/>
        <w:autoSpaceDN w:val="0"/>
        <w:spacing w:before="200" w:after="0" w:line="280" w:lineRule="atLeast"/>
        <w:ind w:left="700" w:right="0"/>
        <w:jc w:val="both"/>
        <w:textAlignment w:val="auto"/>
        <w:rPr>
          <w:sz w:val="24"/>
        </w:rPr>
      </w:pPr>
      <w:r>
        <w:rPr>
          <w:rFonts w:ascii="宋体" w:hAnsi="宋体" w:eastAsia="宋体" w:cs="宋体"/>
          <w:b w:val="0"/>
          <w:i w:val="0"/>
          <w:color w:val="000000"/>
          <w:sz w:val="18"/>
        </w:rPr>
        <w:t>A. 投入行为的介入程度</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8"/>
        </w:rPr>
        <w:t>B. 投入的领域</w:t>
      </w:r>
    </w:p>
    <w:p w14:paraId="64BEDA10">
      <w:pPr>
        <w:wordWrap/>
        <w:autoSpaceDE w:val="0"/>
        <w:autoSpaceDN w:val="0"/>
        <w:spacing w:before="200" w:after="0" w:line="280" w:lineRule="atLeast"/>
        <w:ind w:left="700" w:right="0"/>
        <w:jc w:val="both"/>
        <w:textAlignment w:val="auto"/>
        <w:rPr>
          <w:sz w:val="24"/>
        </w:rPr>
      </w:pPr>
      <w:r>
        <w:rPr>
          <w:rFonts w:ascii="宋体" w:hAnsi="宋体" w:eastAsia="宋体" w:cs="宋体"/>
          <w:b w:val="0"/>
          <w:i w:val="0"/>
          <w:color w:val="000000"/>
          <w:sz w:val="18"/>
        </w:rPr>
        <w:t>C. 投资的方向</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8"/>
        </w:rPr>
        <w:t>D. 投资的内容</w:t>
      </w:r>
    </w:p>
    <w:p w14:paraId="6458FD04">
      <w:pPr>
        <w:wordWrap/>
        <w:autoSpaceDE w:val="0"/>
        <w:autoSpaceDN w:val="0"/>
        <w:spacing w:before="220" w:after="0" w:line="260" w:lineRule="atLeast"/>
        <w:ind w:left="700" w:right="0"/>
        <w:jc w:val="both"/>
        <w:textAlignment w:val="auto"/>
        <w:rPr>
          <w:sz w:val="18"/>
        </w:rPr>
      </w:pPr>
      <w:r>
        <w:rPr>
          <w:rFonts w:ascii="宋体" w:hAnsi="宋体" w:eastAsia="宋体" w:cs="宋体"/>
          <w:b w:val="0"/>
          <w:i w:val="0"/>
          <w:color w:val="000000"/>
          <w:sz w:val="18"/>
        </w:rPr>
        <w:t>[答案]D</w:t>
      </w:r>
    </w:p>
    <w:p w14:paraId="6093B145">
      <w:pPr>
        <w:wordWrap/>
        <w:autoSpaceDE w:val="0"/>
        <w:autoSpaceDN w:val="0"/>
        <w:spacing w:before="20" w:after="0" w:line="440" w:lineRule="atLeast"/>
        <w:ind w:left="700" w:right="440"/>
        <w:jc w:val="both"/>
        <w:textAlignment w:val="auto"/>
        <w:rPr>
          <w:sz w:val="18"/>
        </w:rPr>
      </w:pPr>
      <w:r>
        <w:rPr>
          <w:rFonts w:ascii="宋体" w:hAnsi="宋体" w:eastAsia="宋体" w:cs="宋体"/>
          <w:b w:val="0"/>
          <w:i w:val="0"/>
          <w:color w:val="000000"/>
          <w:sz w:val="18"/>
        </w:rPr>
        <w:t>[解析]根据投资的内容，投资可以分为固定资产投资、无形资产投资、开办费投资、流动资金投资、房地产投资、有价证券投资、期货与期权投资、信托投资、保险投资等。(教材P179)</w:t>
      </w:r>
    </w:p>
    <w:p w14:paraId="5C2034F2">
      <w:pPr>
        <w:wordWrap/>
        <w:autoSpaceDE w:val="0"/>
        <w:autoSpaceDN w:val="0"/>
        <w:spacing w:before="220" w:after="0" w:line="260" w:lineRule="atLeast"/>
        <w:ind w:left="180" w:right="0"/>
        <w:jc w:val="both"/>
        <w:textAlignment w:val="auto"/>
        <w:rPr>
          <w:sz w:val="18"/>
        </w:rPr>
      </w:pPr>
      <w:r>
        <w:rPr>
          <w:rFonts w:ascii="宋体" w:hAnsi="宋体" w:eastAsia="宋体" w:cs="宋体"/>
          <w:b w:val="0"/>
          <w:i w:val="0"/>
          <w:color w:val="000000"/>
          <w:sz w:val="18"/>
        </w:rPr>
        <w:t>8.在投资收益不确定的情况下，按估计的各种可能收益水平及其发生概率计算的加权平均数是()。</w:t>
      </w:r>
    </w:p>
    <w:p w14:paraId="6AD49EE7">
      <w:pPr>
        <w:wordWrap/>
        <w:autoSpaceDE w:val="0"/>
        <w:autoSpaceDN w:val="0"/>
        <w:spacing w:before="160" w:after="0" w:line="280" w:lineRule="atLeast"/>
        <w:ind w:left="700" w:right="0"/>
        <w:jc w:val="both"/>
        <w:textAlignment w:val="auto"/>
        <w:rPr>
          <w:sz w:val="24"/>
        </w:rPr>
      </w:pPr>
      <w:r>
        <w:rPr>
          <w:rFonts w:ascii="宋体" w:hAnsi="宋体" w:eastAsia="宋体" w:cs="宋体"/>
          <w:b w:val="0"/>
          <w:i w:val="0"/>
          <w:color w:val="000000"/>
          <w:sz w:val="18"/>
        </w:rPr>
        <w:t>A. 实际投资收益(率)</w:t>
      </w:r>
      <w:r>
        <w:rPr>
          <w:rFonts w:ascii="宋体" w:hAnsi="宋体" w:eastAsia="宋体" w:cs="宋体"/>
          <w:sz w:val="24"/>
        </w:rPr>
        <w:t xml:space="preserve">                 </w:t>
      </w:r>
      <w:r>
        <w:rPr>
          <w:rFonts w:ascii="宋体" w:hAnsi="宋体" w:eastAsia="宋体" w:cs="宋体"/>
          <w:b w:val="0"/>
          <w:i w:val="0"/>
          <w:color w:val="000000"/>
          <w:sz w:val="18"/>
        </w:rPr>
        <w:t>B. 期望投资收益(率)</w:t>
      </w:r>
    </w:p>
    <w:p w14:paraId="4A5C23CB">
      <w:pPr>
        <w:wordWrap/>
        <w:autoSpaceDE w:val="0"/>
        <w:autoSpaceDN w:val="0"/>
        <w:spacing w:before="200" w:after="0" w:line="280" w:lineRule="atLeast"/>
        <w:ind w:left="700" w:right="0"/>
        <w:jc w:val="both"/>
        <w:textAlignment w:val="auto"/>
        <w:rPr>
          <w:sz w:val="24"/>
        </w:rPr>
      </w:pPr>
      <w:r>
        <w:rPr>
          <w:rFonts w:ascii="宋体" w:hAnsi="宋体" w:eastAsia="宋体" w:cs="宋体"/>
          <w:b w:val="0"/>
          <w:i w:val="0"/>
          <w:color w:val="000000"/>
          <w:sz w:val="18"/>
        </w:rPr>
        <w:t>C. 必要投资收益(率)</w:t>
      </w:r>
      <w:r>
        <w:rPr>
          <w:rFonts w:ascii="宋体" w:hAnsi="宋体" w:eastAsia="宋体" w:cs="宋体"/>
          <w:sz w:val="24"/>
        </w:rPr>
        <w:t xml:space="preserve">                 </w:t>
      </w:r>
      <w:r>
        <w:rPr>
          <w:rFonts w:ascii="宋体" w:hAnsi="宋体" w:eastAsia="宋体" w:cs="宋体"/>
          <w:b w:val="0"/>
          <w:i w:val="0"/>
          <w:color w:val="000000"/>
          <w:sz w:val="18"/>
        </w:rPr>
        <w:t>D. 无风险收益(率)</w:t>
      </w:r>
    </w:p>
    <w:p w14:paraId="64DF6425">
      <w:pPr>
        <w:wordWrap/>
        <w:autoSpaceDE w:val="0"/>
        <w:autoSpaceDN w:val="0"/>
        <w:spacing w:before="220" w:after="0" w:line="260" w:lineRule="atLeast"/>
        <w:ind w:left="700" w:right="0"/>
        <w:jc w:val="both"/>
        <w:textAlignment w:val="auto"/>
        <w:rPr>
          <w:sz w:val="18"/>
        </w:rPr>
      </w:pPr>
      <w:r>
        <w:rPr>
          <w:rFonts w:ascii="宋体" w:hAnsi="宋体" w:eastAsia="宋体" w:cs="宋体"/>
          <w:b w:val="0"/>
          <w:i w:val="0"/>
          <w:color w:val="000000"/>
          <w:sz w:val="18"/>
        </w:rPr>
        <w:t>[答案]B</w:t>
      </w:r>
    </w:p>
    <w:p w14:paraId="3955E64E">
      <w:pPr>
        <w:wordWrap/>
        <w:autoSpaceDE w:val="0"/>
        <w:autoSpaceDN w:val="0"/>
        <w:spacing w:before="80" w:after="0" w:line="410" w:lineRule="atLeast"/>
        <w:ind w:left="700" w:right="420"/>
        <w:jc w:val="both"/>
        <w:textAlignment w:val="auto"/>
        <w:rPr>
          <w:sz w:val="18"/>
        </w:rPr>
      </w:pPr>
      <w:r>
        <w:rPr>
          <w:rFonts w:ascii="宋体" w:hAnsi="宋体" w:eastAsia="宋体" w:cs="宋体"/>
          <w:b w:val="0"/>
          <w:i w:val="0"/>
          <w:color w:val="000000"/>
          <w:sz w:val="18"/>
        </w:rPr>
        <w:t>[解析]期望投资收益是在投资收益不确定的情况下，按估计的各种可能收益水平及其发生概率计算的加权平均数。(教材P183)</w:t>
      </w:r>
    </w:p>
    <w:p w14:paraId="7B99C8DF">
      <w:pPr>
        <w:wordWrap/>
        <w:autoSpaceDE w:val="0"/>
        <w:autoSpaceDN w:val="0"/>
        <w:spacing w:before="220" w:after="0" w:line="260" w:lineRule="atLeast"/>
        <w:ind w:left="180" w:right="0"/>
        <w:jc w:val="both"/>
        <w:textAlignment w:val="auto"/>
        <w:rPr>
          <w:sz w:val="18"/>
        </w:rPr>
      </w:pPr>
      <w:r>
        <w:rPr>
          <w:rFonts w:ascii="宋体" w:hAnsi="宋体" w:eastAsia="宋体" w:cs="宋体"/>
          <w:b w:val="0"/>
          <w:i w:val="0"/>
          <w:color w:val="000000"/>
          <w:sz w:val="18"/>
        </w:rPr>
        <w:t>9.在计算由两项资产组成的投资组合收益率的方差时，不需要考虑的因素是( )。</w:t>
      </w:r>
    </w:p>
    <w:p w14:paraId="2F373E24">
      <w:pPr>
        <w:wordWrap/>
        <w:autoSpaceDE w:val="0"/>
        <w:autoSpaceDN w:val="0"/>
        <w:spacing w:before="200" w:after="0" w:line="280" w:lineRule="atLeast"/>
        <w:ind w:left="700" w:right="0"/>
        <w:jc w:val="both"/>
        <w:textAlignment w:val="auto"/>
        <w:rPr>
          <w:sz w:val="24"/>
        </w:rPr>
      </w:pPr>
      <w:r>
        <w:rPr>
          <w:rFonts w:ascii="宋体" w:hAnsi="宋体" w:eastAsia="宋体" w:cs="宋体"/>
          <w:b w:val="0"/>
          <w:i w:val="0"/>
          <w:color w:val="000000"/>
          <w:sz w:val="18"/>
        </w:rPr>
        <w:t>A. 单项资产在投资组合中所占比重</w:t>
      </w:r>
      <w:r>
        <w:rPr>
          <w:rFonts w:ascii="宋体" w:hAnsi="宋体" w:eastAsia="宋体" w:cs="宋体"/>
          <w:sz w:val="24"/>
        </w:rPr>
        <w:t xml:space="preserve">        </w:t>
      </w:r>
      <w:r>
        <w:rPr>
          <w:rFonts w:ascii="宋体" w:hAnsi="宋体" w:eastAsia="宋体" w:cs="宋体"/>
          <w:b w:val="0"/>
          <w:i w:val="0"/>
          <w:color w:val="000000"/>
          <w:sz w:val="18"/>
        </w:rPr>
        <w:t>B. 单项资产的β系数</w:t>
      </w:r>
    </w:p>
    <w:p w14:paraId="0B365152">
      <w:pPr>
        <w:wordWrap/>
        <w:autoSpaceDE w:val="0"/>
        <w:autoSpaceDN w:val="0"/>
        <w:spacing w:before="200" w:after="0" w:line="260" w:lineRule="atLeast"/>
        <w:ind w:left="700" w:right="0"/>
        <w:jc w:val="both"/>
        <w:textAlignment w:val="auto"/>
        <w:rPr>
          <w:sz w:val="24"/>
        </w:rPr>
      </w:pPr>
      <w:r>
        <w:rPr>
          <w:rFonts w:ascii="宋体" w:hAnsi="宋体" w:eastAsia="宋体" w:cs="宋体"/>
          <w:b w:val="0"/>
          <w:i w:val="0"/>
          <w:color w:val="000000"/>
          <w:sz w:val="18"/>
        </w:rPr>
        <w:t>C. 单项资产的方差</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8"/>
        </w:rPr>
        <w:t>D. 两种资产的协方差</w:t>
      </w:r>
    </w:p>
    <w:p w14:paraId="2FFF73DC">
      <w:pPr>
        <w:wordWrap/>
        <w:autoSpaceDE w:val="0"/>
        <w:autoSpaceDN w:val="0"/>
        <w:spacing w:before="220" w:after="0" w:line="260" w:lineRule="atLeast"/>
        <w:ind w:left="700" w:right="0"/>
        <w:jc w:val="both"/>
        <w:textAlignment w:val="auto"/>
        <w:rPr>
          <w:sz w:val="18"/>
        </w:rPr>
      </w:pPr>
      <w:r>
        <w:rPr>
          <w:rFonts w:ascii="宋体" w:hAnsi="宋体" w:eastAsia="宋体" w:cs="宋体"/>
          <w:b w:val="0"/>
          <w:i w:val="0"/>
          <w:color w:val="000000"/>
          <w:sz w:val="18"/>
        </w:rPr>
        <w:t>[答案]B</w:t>
      </w:r>
    </w:p>
    <w:p w14:paraId="65D13E50">
      <w:pPr>
        <w:wordWrap/>
        <w:autoSpaceDE w:val="0"/>
        <w:autoSpaceDN w:val="0"/>
        <w:spacing w:before="180" w:after="0" w:line="280" w:lineRule="atLeast"/>
        <w:ind w:left="700" w:right="0"/>
        <w:jc w:val="both"/>
        <w:textAlignment w:val="auto"/>
        <w:rPr>
          <w:sz w:val="18"/>
        </w:rPr>
      </w:pPr>
      <w:r>
        <w:rPr>
          <w:rFonts w:ascii="宋体" w:hAnsi="宋体" w:eastAsia="宋体" w:cs="宋体"/>
          <w:b w:val="0"/>
          <w:i w:val="0"/>
          <w:color w:val="000000"/>
          <w:sz w:val="18"/>
        </w:rPr>
        <w:t>[解析]根据教材P186投资组合收益率方差的计算公式，其中并未涉及到单项资产的贝它系数。</w:t>
      </w:r>
    </w:p>
    <w:p w14:paraId="5529B836">
      <w:pPr>
        <w:wordWrap/>
        <w:autoSpaceDE w:val="0"/>
        <w:autoSpaceDN w:val="0"/>
        <w:spacing w:before="200" w:after="0" w:line="260" w:lineRule="atLeast"/>
        <w:ind w:left="180" w:right="0"/>
        <w:jc w:val="both"/>
        <w:textAlignment w:val="auto"/>
        <w:rPr>
          <w:sz w:val="18"/>
        </w:rPr>
      </w:pPr>
      <w:r>
        <w:rPr>
          <w:rFonts w:ascii="宋体" w:hAnsi="宋体" w:eastAsia="宋体" w:cs="宋体"/>
          <w:b w:val="0"/>
          <w:i w:val="0"/>
          <w:color w:val="000000"/>
          <w:sz w:val="18"/>
        </w:rPr>
        <w:t>10.下列各项中，不属于投资项目现金流出量内容的是 ( )。</w:t>
      </w:r>
    </w:p>
    <w:p w14:paraId="7AA5B274">
      <w:pPr>
        <w:wordWrap/>
        <w:autoSpaceDE w:val="0"/>
        <w:autoSpaceDN w:val="0"/>
        <w:spacing w:before="200" w:after="0" w:line="280" w:lineRule="atLeast"/>
        <w:ind w:left="700" w:right="0"/>
        <w:jc w:val="both"/>
        <w:textAlignment w:val="auto"/>
        <w:rPr>
          <w:sz w:val="24"/>
        </w:rPr>
      </w:pPr>
      <w:r>
        <w:rPr>
          <w:rFonts w:ascii="宋体" w:hAnsi="宋体" w:eastAsia="宋体" w:cs="宋体"/>
          <w:b w:val="0"/>
          <w:i w:val="0"/>
          <w:color w:val="000000"/>
          <w:sz w:val="18"/>
        </w:rPr>
        <w:t>A. 固定资产投资</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8"/>
        </w:rPr>
        <w:t>B. 折旧与摊销</w:t>
      </w:r>
      <w:r>
        <w:rPr>
          <w:rFonts w:ascii="宋体" w:hAnsi="宋体" w:eastAsia="宋体" w:cs="宋体"/>
          <w:sz w:val="24"/>
        </w:rPr>
        <w:t xml:space="preserve">      </w:t>
      </w:r>
      <w:r>
        <w:rPr>
          <w:rFonts w:ascii="宋体" w:hAnsi="宋体" w:eastAsia="宋体" w:cs="宋体"/>
          <w:b w:val="0"/>
          <w:i w:val="0"/>
          <w:color w:val="000000"/>
          <w:sz w:val="18"/>
        </w:rPr>
        <w:t>C. 无形资产投资</w:t>
      </w:r>
      <w:r>
        <w:rPr>
          <w:rFonts w:ascii="宋体" w:hAnsi="宋体" w:eastAsia="宋体" w:cs="宋体"/>
          <w:sz w:val="24"/>
        </w:rPr>
        <w:t xml:space="preserve">    </w:t>
      </w:r>
      <w:r>
        <w:rPr>
          <w:rFonts w:ascii="宋体" w:hAnsi="宋体" w:eastAsia="宋体" w:cs="宋体"/>
          <w:b w:val="0"/>
          <w:i w:val="0"/>
          <w:color w:val="000000"/>
          <w:sz w:val="18"/>
        </w:rPr>
        <w:t>D. 新增经营成本</w:t>
      </w:r>
    </w:p>
    <w:p w14:paraId="0F95563F">
      <w:pPr>
        <w:wordWrap/>
        <w:autoSpaceDE w:val="0"/>
        <w:autoSpaceDN w:val="0"/>
        <w:spacing w:before="200" w:after="0" w:line="260" w:lineRule="atLeast"/>
        <w:ind w:left="700" w:right="0"/>
        <w:jc w:val="both"/>
        <w:textAlignment w:val="auto"/>
        <w:rPr>
          <w:sz w:val="18"/>
        </w:rPr>
      </w:pPr>
      <w:r>
        <w:rPr>
          <w:rFonts w:ascii="宋体" w:hAnsi="宋体" w:eastAsia="宋体" w:cs="宋体"/>
          <w:b w:val="0"/>
          <w:i w:val="0"/>
          <w:color w:val="000000"/>
          <w:sz w:val="18"/>
        </w:rPr>
        <w:t>[答案]B</w:t>
      </w:r>
    </w:p>
    <w:p w14:paraId="7E56E5AD">
      <w:pPr>
        <w:wordWrap/>
        <w:autoSpaceDE w:val="0"/>
        <w:autoSpaceDN w:val="0"/>
        <w:spacing w:before="60" w:after="0" w:line="420" w:lineRule="atLeast"/>
        <w:ind w:left="700" w:right="420"/>
        <w:jc w:val="both"/>
        <w:textAlignment w:val="auto"/>
        <w:rPr>
          <w:sz w:val="18"/>
        </w:rPr>
      </w:pPr>
      <w:r>
        <w:rPr>
          <w:rFonts w:ascii="宋体" w:hAnsi="宋体" w:eastAsia="宋体" w:cs="宋体"/>
          <w:b w:val="0"/>
          <w:i w:val="0"/>
          <w:color w:val="000000"/>
          <w:sz w:val="18"/>
        </w:rPr>
        <w:t>[解析]折旧与摊销属于非付现成本，并不会引起现金流出企业，所以不属于投资项目现金流出量内容。(教材P206?208)</w:t>
      </w:r>
    </w:p>
    <w:p w14:paraId="7E34CF87">
      <w:pPr>
        <w:wordWrap/>
        <w:autoSpaceDE w:val="0"/>
        <w:autoSpaceDN w:val="0"/>
        <w:spacing w:before="0" w:after="0" w:line="460" w:lineRule="atLeast"/>
        <w:ind w:left="180" w:right="420"/>
        <w:jc w:val="both"/>
        <w:textAlignment w:val="auto"/>
        <w:rPr>
          <w:sz w:val="18"/>
        </w:rPr>
      </w:pPr>
      <w:r>
        <w:rPr>
          <w:rFonts w:ascii="宋体" w:hAnsi="宋体" w:eastAsia="宋体" w:cs="宋体"/>
          <w:b w:val="0"/>
          <w:i w:val="0"/>
          <w:color w:val="000000"/>
          <w:sz w:val="18"/>
        </w:rPr>
        <w:t>11.如果某投资项目的相关评价指标满足以下关系:NPV&gt;0, NPVR&gt;0, PI&gt;1, IRR&gt; ic, PP&gt;n/2, 则可以得出的结论是()。</w:t>
      </w:r>
    </w:p>
    <w:p w14:paraId="02609308">
      <w:pPr>
        <w:wordWrap/>
        <w:autoSpaceDE w:val="0"/>
        <w:autoSpaceDN w:val="0"/>
        <w:spacing w:before="180" w:after="0" w:line="280" w:lineRule="atLeast"/>
        <w:ind w:left="700" w:right="0"/>
        <w:jc w:val="both"/>
        <w:textAlignment w:val="auto"/>
        <w:rPr>
          <w:sz w:val="24"/>
        </w:rPr>
      </w:pPr>
      <w:r>
        <w:rPr>
          <w:rFonts w:ascii="宋体" w:hAnsi="宋体" w:eastAsia="宋体" w:cs="宋体"/>
          <w:b w:val="0"/>
          <w:i w:val="0"/>
          <w:color w:val="000000"/>
          <w:sz w:val="18"/>
        </w:rPr>
        <w:t>A. 该项目基本具备财务可行性</w:t>
      </w:r>
      <w:r>
        <w:rPr>
          <w:rFonts w:ascii="宋体" w:hAnsi="宋体" w:eastAsia="宋体" w:cs="宋体"/>
          <w:sz w:val="24"/>
        </w:rPr>
        <w:t xml:space="preserve">           </w:t>
      </w:r>
      <w:r>
        <w:rPr>
          <w:rFonts w:ascii="宋体" w:hAnsi="宋体" w:eastAsia="宋体" w:cs="宋体"/>
          <w:b w:val="0"/>
          <w:i w:val="0"/>
          <w:color w:val="000000"/>
          <w:sz w:val="18"/>
        </w:rPr>
        <w:t>B. 该项目完全具备财务可行性</w:t>
      </w:r>
    </w:p>
    <w:p w14:paraId="2ACBEF84">
      <w:pPr>
        <w:wordWrap/>
        <w:autoSpaceDE w:val="0"/>
        <w:autoSpaceDN w:val="0"/>
        <w:spacing w:before="180" w:after="0" w:line="280" w:lineRule="atLeast"/>
        <w:ind w:left="700" w:right="0"/>
        <w:jc w:val="both"/>
        <w:textAlignment w:val="auto"/>
        <w:rPr>
          <w:sz w:val="24"/>
        </w:rPr>
      </w:pPr>
      <w:r>
        <w:rPr>
          <w:rFonts w:ascii="宋体" w:hAnsi="宋体" w:eastAsia="宋体" w:cs="宋体"/>
          <w:b w:val="0"/>
          <w:i w:val="0"/>
          <w:color w:val="000000"/>
          <w:sz w:val="18"/>
        </w:rPr>
        <w:t>C. 该项目基本不具备财务可行性</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8"/>
        </w:rPr>
        <w:t>D. 该项目完全不具备财务可行性</w:t>
      </w:r>
    </w:p>
    <w:p w14:paraId="32CCA26F">
      <w:pPr>
        <w:wordWrap/>
        <w:autoSpaceDE w:val="0"/>
        <w:autoSpaceDN w:val="0"/>
        <w:spacing w:before="220" w:after="0" w:line="260" w:lineRule="atLeast"/>
        <w:ind w:left="700" w:right="0"/>
        <w:jc w:val="both"/>
        <w:textAlignment w:val="auto"/>
        <w:rPr>
          <w:sz w:val="18"/>
        </w:rPr>
      </w:pPr>
      <w:r>
        <w:rPr>
          <w:rFonts w:ascii="宋体" w:hAnsi="宋体" w:eastAsia="宋体" w:cs="宋体"/>
          <w:b w:val="0"/>
          <w:i w:val="0"/>
          <w:color w:val="000000"/>
          <w:sz w:val="18"/>
        </w:rPr>
        <w:t>[答案]A</w:t>
      </w:r>
    </w:p>
    <w:p w14:paraId="36DBBCCA">
      <w:pPr>
        <w:wordWrap/>
        <w:autoSpaceDE w:val="0"/>
        <w:autoSpaceDN w:val="0"/>
        <w:spacing w:before="200" w:after="0" w:line="260" w:lineRule="atLeast"/>
        <w:ind w:left="700" w:right="0"/>
        <w:jc w:val="both"/>
        <w:textAlignment w:val="auto"/>
        <w:rPr>
          <w:sz w:val="18"/>
        </w:rPr>
      </w:pPr>
      <w:r>
        <w:rPr>
          <w:rFonts w:ascii="宋体" w:hAnsi="宋体" w:eastAsia="宋体" w:cs="宋体"/>
          <w:b w:val="0"/>
          <w:i w:val="0"/>
          <w:color w:val="000000"/>
          <w:sz w:val="18"/>
        </w:rPr>
        <w:t>[解析]主要指标处于可行区间(NPV≥0, NPVR≥0, PI≥1, IRR≥ic), 但是次要或者辅助指标处于</w:t>
      </w:r>
      <w:r>
        <w:br w:type="page"/>
      </w:r>
    </w:p>
    <w:p w14:paraId="678C2165">
      <w:pPr>
        <w:wordWrap/>
        <w:autoSpaceDE w:val="0"/>
        <w:autoSpaceDN w:val="0"/>
        <w:spacing w:before="480" w:after="0" w:line="460" w:lineRule="atLeast"/>
        <w:ind w:left="1520" w:right="420"/>
        <w:jc w:val="both"/>
        <w:textAlignment w:val="auto"/>
        <w:rPr>
          <w:sz w:val="18"/>
        </w:rPr>
      </w:pPr>
      <w:r>
        <w:rPr>
          <w:rFonts w:ascii="宋体" w:hAnsi="宋体" w:eastAsia="宋体" w:cs="宋体"/>
          <w:b w:val="0"/>
          <w:i w:val="0"/>
          <w:color w:val="000000"/>
          <w:sz w:val="18"/>
        </w:rPr>
        <w:t>不可行区间(PP&gt;n/2，PP'&gt;P/2或ROI&lt;i)，则可以判定项目基本上具备财务可行性。(教材P250)</w:t>
      </w:r>
    </w:p>
    <w:p w14:paraId="0F3EF8EE">
      <w:pPr>
        <w:wordWrap/>
        <w:autoSpaceDE w:val="0"/>
        <w:autoSpaceDN w:val="0"/>
        <w:spacing w:before="200" w:after="0" w:line="260" w:lineRule="atLeast"/>
        <w:ind w:left="180" w:right="0"/>
        <w:jc w:val="both"/>
        <w:textAlignment w:val="auto"/>
        <w:rPr>
          <w:sz w:val="18"/>
        </w:rPr>
      </w:pPr>
      <w:r>
        <w:rPr>
          <w:rFonts w:ascii="宋体" w:hAnsi="宋体" w:eastAsia="宋体" w:cs="宋体"/>
          <w:b w:val="0"/>
          <w:i w:val="0"/>
          <w:color w:val="000000"/>
          <w:sz w:val="18"/>
        </w:rPr>
        <w:t>12.下列各项中，属于证券投资系统性风险(市场风险) 的是( )。</w:t>
      </w:r>
    </w:p>
    <w:p w14:paraId="3063152D">
      <w:pPr>
        <w:wordWrap/>
        <w:autoSpaceDE w:val="0"/>
        <w:autoSpaceDN w:val="0"/>
        <w:spacing w:before="180" w:after="0" w:line="280" w:lineRule="atLeast"/>
        <w:ind w:left="680" w:right="0"/>
        <w:jc w:val="both"/>
        <w:textAlignment w:val="auto"/>
        <w:rPr>
          <w:sz w:val="24"/>
        </w:rPr>
      </w:pPr>
      <w:r>
        <w:rPr>
          <w:rFonts w:ascii="宋体" w:hAnsi="宋体" w:eastAsia="宋体" w:cs="宋体"/>
          <w:b w:val="0"/>
          <w:i w:val="0"/>
          <w:color w:val="000000"/>
          <w:sz w:val="18"/>
        </w:rPr>
        <w:t>A. 利息率风险</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8"/>
        </w:rPr>
        <w:t>B. 违约风险</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8"/>
        </w:rPr>
        <w:t>C. 破产风险</w:t>
      </w:r>
      <w:r>
        <w:rPr>
          <w:rFonts w:ascii="宋体" w:hAnsi="宋体" w:eastAsia="宋体" w:cs="宋体"/>
          <w:sz w:val="24"/>
        </w:rPr>
        <w:t xml:space="preserve">       </w:t>
      </w:r>
      <w:r>
        <w:rPr>
          <w:rFonts w:ascii="宋体" w:hAnsi="宋体" w:eastAsia="宋体" w:cs="宋体"/>
          <w:b w:val="0"/>
          <w:i w:val="0"/>
          <w:color w:val="000000"/>
          <w:sz w:val="18"/>
        </w:rPr>
        <w:t>D. 流动性风险</w:t>
      </w:r>
    </w:p>
    <w:p w14:paraId="64E93585">
      <w:pPr>
        <w:wordWrap/>
        <w:autoSpaceDE w:val="0"/>
        <w:autoSpaceDN w:val="0"/>
        <w:spacing w:before="220" w:after="0" w:line="260" w:lineRule="atLeast"/>
        <w:ind w:left="680" w:right="0"/>
        <w:jc w:val="both"/>
        <w:textAlignment w:val="auto"/>
        <w:rPr>
          <w:sz w:val="18"/>
        </w:rPr>
      </w:pPr>
      <w:r>
        <w:rPr>
          <w:rFonts w:ascii="宋体" w:hAnsi="宋体" w:eastAsia="宋体" w:cs="宋体"/>
          <w:b w:val="0"/>
          <w:i w:val="0"/>
          <w:color w:val="000000"/>
          <w:sz w:val="18"/>
        </w:rPr>
        <w:t>[答案]A</w:t>
      </w:r>
    </w:p>
    <w:p w14:paraId="523674E1">
      <w:pPr>
        <w:wordWrap/>
        <w:autoSpaceDE w:val="0"/>
        <w:autoSpaceDN w:val="0"/>
        <w:spacing w:before="40" w:after="0" w:line="430" w:lineRule="atLeast"/>
        <w:ind w:left="680" w:right="440"/>
        <w:jc w:val="both"/>
        <w:textAlignment w:val="auto"/>
        <w:rPr>
          <w:sz w:val="18"/>
        </w:rPr>
      </w:pPr>
      <w:r>
        <w:rPr>
          <w:rFonts w:ascii="宋体" w:hAnsi="宋体" w:eastAsia="宋体" w:cs="宋体"/>
          <w:b w:val="0"/>
          <w:i w:val="0"/>
          <w:color w:val="000000"/>
          <w:sz w:val="18"/>
        </w:rPr>
        <w:t>[解析]证券投资系统性风险包括利息率风险、再投资风险、购买力风险；其余各项属于证券投资的非系统风险。(教材P277-278)</w:t>
      </w:r>
    </w:p>
    <w:p w14:paraId="247E1408">
      <w:pPr>
        <w:wordWrap/>
        <w:autoSpaceDE w:val="0"/>
        <w:autoSpaceDN w:val="0"/>
        <w:spacing w:before="220" w:after="0" w:line="260" w:lineRule="atLeast"/>
        <w:ind w:left="180" w:right="0"/>
        <w:jc w:val="both"/>
        <w:textAlignment w:val="auto"/>
        <w:rPr>
          <w:sz w:val="18"/>
        </w:rPr>
      </w:pPr>
      <w:r>
        <w:rPr>
          <w:rFonts w:ascii="宋体" w:hAnsi="宋体" w:eastAsia="宋体" w:cs="宋体"/>
          <w:b w:val="0"/>
          <w:i w:val="0"/>
          <w:color w:val="000000"/>
          <w:sz w:val="18"/>
        </w:rPr>
        <w:t>13.下列各项中，不能衡量证券投资收益水平的是 ()。</w:t>
      </w:r>
    </w:p>
    <w:p w14:paraId="1CF89921">
      <w:pPr>
        <w:wordWrap/>
        <w:autoSpaceDE w:val="0"/>
        <w:autoSpaceDN w:val="0"/>
        <w:spacing w:before="180" w:after="0" w:line="280" w:lineRule="atLeast"/>
        <w:ind w:left="680" w:right="0"/>
        <w:jc w:val="both"/>
        <w:textAlignment w:val="auto"/>
        <w:rPr>
          <w:sz w:val="24"/>
        </w:rPr>
      </w:pPr>
      <w:r>
        <w:rPr>
          <w:rFonts w:ascii="宋体" w:hAnsi="宋体" w:eastAsia="宋体" w:cs="宋体"/>
          <w:b w:val="0"/>
          <w:i w:val="0"/>
          <w:color w:val="000000"/>
          <w:sz w:val="18"/>
        </w:rPr>
        <w:t>A. 持有期收益率</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8"/>
        </w:rPr>
        <w:t>B. 到期收益率</w:t>
      </w:r>
      <w:r>
        <w:rPr>
          <w:rFonts w:ascii="宋体" w:hAnsi="宋体" w:eastAsia="宋体" w:cs="宋体"/>
          <w:sz w:val="24"/>
        </w:rPr>
        <w:t xml:space="preserve">      </w:t>
      </w:r>
      <w:r>
        <w:rPr>
          <w:rFonts w:ascii="宋体" w:hAnsi="宋体" w:eastAsia="宋体" w:cs="宋体"/>
          <w:b w:val="0"/>
          <w:i w:val="0"/>
          <w:color w:val="000000"/>
          <w:sz w:val="18"/>
        </w:rPr>
        <w:t>C. 息票收益率</w:t>
      </w:r>
      <w:r>
        <w:rPr>
          <w:rFonts w:ascii="宋体" w:hAnsi="宋体" w:eastAsia="宋体" w:cs="宋体"/>
          <w:sz w:val="24"/>
        </w:rPr>
        <w:t xml:space="preserve">      </w:t>
      </w:r>
      <w:r>
        <w:rPr>
          <w:rFonts w:ascii="宋体" w:hAnsi="宋体" w:eastAsia="宋体" w:cs="宋体"/>
          <w:b w:val="0"/>
          <w:i w:val="0"/>
          <w:color w:val="000000"/>
          <w:sz w:val="18"/>
        </w:rPr>
        <w:t>D. 标准离差率</w:t>
      </w:r>
    </w:p>
    <w:p w14:paraId="100A175F">
      <w:pPr>
        <w:wordWrap/>
        <w:autoSpaceDE w:val="0"/>
        <w:autoSpaceDN w:val="0"/>
        <w:spacing w:before="220" w:after="0" w:line="260" w:lineRule="atLeast"/>
        <w:ind w:left="680" w:right="0"/>
        <w:jc w:val="both"/>
        <w:textAlignment w:val="auto"/>
        <w:rPr>
          <w:sz w:val="18"/>
        </w:rPr>
      </w:pPr>
      <w:r>
        <w:rPr>
          <w:rFonts w:ascii="宋体" w:hAnsi="宋体" w:eastAsia="宋体" w:cs="宋体"/>
          <w:b w:val="0"/>
          <w:i w:val="0"/>
          <w:color w:val="000000"/>
          <w:sz w:val="18"/>
        </w:rPr>
        <w:t>[答案]D</w:t>
      </w:r>
    </w:p>
    <w:p w14:paraId="56A275F7">
      <w:pPr>
        <w:wordWrap/>
        <w:autoSpaceDE w:val="0"/>
        <w:autoSpaceDN w:val="0"/>
        <w:spacing w:before="200" w:after="0" w:line="280" w:lineRule="atLeast"/>
        <w:ind w:left="680" w:right="0"/>
        <w:jc w:val="both"/>
        <w:textAlignment w:val="auto"/>
        <w:rPr>
          <w:sz w:val="18"/>
        </w:rPr>
      </w:pPr>
      <w:r>
        <w:rPr>
          <w:rFonts w:ascii="宋体" w:hAnsi="宋体" w:eastAsia="宋体" w:cs="宋体"/>
          <w:b w:val="0"/>
          <w:i w:val="0"/>
          <w:color w:val="000000"/>
          <w:sz w:val="18"/>
        </w:rPr>
        <w:t>[解析]标准离差率衡量的是证券投资的风险。</w:t>
      </w:r>
    </w:p>
    <w:p w14:paraId="0BF80104">
      <w:pPr>
        <w:wordWrap/>
        <w:autoSpaceDE w:val="0"/>
        <w:autoSpaceDN w:val="0"/>
        <w:spacing w:before="200" w:after="0" w:line="260" w:lineRule="atLeast"/>
        <w:ind w:left="180" w:right="0"/>
        <w:jc w:val="both"/>
        <w:textAlignment w:val="auto"/>
        <w:rPr>
          <w:sz w:val="18"/>
        </w:rPr>
      </w:pPr>
      <w:r>
        <w:rPr>
          <w:rFonts w:ascii="宋体" w:hAnsi="宋体" w:eastAsia="宋体" w:cs="宋体"/>
          <w:b w:val="0"/>
          <w:i w:val="0"/>
          <w:color w:val="000000"/>
          <w:sz w:val="18"/>
        </w:rPr>
        <w:t>14.下列各项中，属于现金支出管理方法的是()。</w:t>
      </w:r>
    </w:p>
    <w:p w14:paraId="763AA1EB">
      <w:pPr>
        <w:wordWrap/>
        <w:autoSpaceDE w:val="0"/>
        <w:autoSpaceDN w:val="0"/>
        <w:spacing w:before="200" w:after="0" w:line="260" w:lineRule="atLeast"/>
        <w:ind w:left="680" w:right="0"/>
        <w:jc w:val="both"/>
        <w:textAlignment w:val="auto"/>
        <w:rPr>
          <w:sz w:val="24"/>
        </w:rPr>
      </w:pPr>
      <w:r>
        <w:rPr>
          <w:rFonts w:ascii="宋体" w:hAnsi="宋体" w:eastAsia="宋体" w:cs="宋体"/>
          <w:b w:val="0"/>
          <w:i w:val="0"/>
          <w:color w:val="000000"/>
          <w:sz w:val="18"/>
        </w:rPr>
        <w:t>A. 银行业务集中法</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8"/>
        </w:rPr>
        <w:t>B. 合理运用“浮游量”</w:t>
      </w:r>
    </w:p>
    <w:p w14:paraId="7BFF022C">
      <w:pPr>
        <w:wordWrap/>
        <w:autoSpaceDE w:val="0"/>
        <w:autoSpaceDN w:val="0"/>
        <w:spacing w:before="180" w:after="0" w:line="300" w:lineRule="atLeast"/>
        <w:ind w:left="680" w:right="0"/>
        <w:jc w:val="both"/>
        <w:textAlignment w:val="auto"/>
        <w:rPr>
          <w:sz w:val="24"/>
        </w:rPr>
      </w:pPr>
      <w:r>
        <w:rPr>
          <w:rFonts w:ascii="宋体" w:hAnsi="宋体" w:eastAsia="宋体" w:cs="宋体"/>
          <w:b w:val="0"/>
          <w:i w:val="0"/>
          <w:color w:val="000000"/>
          <w:sz w:val="18"/>
        </w:rPr>
        <w:t>C. 账龄分析法</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8"/>
        </w:rPr>
        <w:t>D. 邮政信箱法</w:t>
      </w:r>
    </w:p>
    <w:p w14:paraId="02E2960E">
      <w:pPr>
        <w:wordWrap/>
        <w:autoSpaceDE w:val="0"/>
        <w:autoSpaceDN w:val="0"/>
        <w:spacing w:before="200" w:after="0" w:line="260" w:lineRule="atLeast"/>
        <w:ind w:left="680" w:right="0"/>
        <w:jc w:val="both"/>
        <w:textAlignment w:val="auto"/>
        <w:rPr>
          <w:sz w:val="18"/>
        </w:rPr>
      </w:pPr>
      <w:r>
        <w:rPr>
          <w:rFonts w:ascii="宋体" w:hAnsi="宋体" w:eastAsia="宋体" w:cs="宋体"/>
          <w:b w:val="0"/>
          <w:i w:val="0"/>
          <w:color w:val="000000"/>
          <w:sz w:val="18"/>
        </w:rPr>
        <w:t>[答案]B</w:t>
      </w:r>
    </w:p>
    <w:p w14:paraId="684FE978">
      <w:pPr>
        <w:wordWrap/>
        <w:autoSpaceDE w:val="0"/>
        <w:autoSpaceDN w:val="0"/>
        <w:spacing w:before="40" w:after="0" w:line="440" w:lineRule="atLeast"/>
        <w:ind w:left="680" w:right="440"/>
        <w:jc w:val="both"/>
        <w:textAlignment w:val="auto"/>
        <w:rPr>
          <w:sz w:val="18"/>
        </w:rPr>
      </w:pPr>
      <w:r>
        <w:rPr>
          <w:rFonts w:ascii="宋体" w:hAnsi="宋体" w:eastAsia="宋体" w:cs="宋体"/>
          <w:b w:val="0"/>
          <w:i w:val="0"/>
          <w:color w:val="000000"/>
          <w:sz w:val="18"/>
        </w:rPr>
        <w:t>[解析]现金支出管理的方法包括合理利用“浮游量”； 推迟支付应付款； 采用汇票付款； 改进工资支付方式。(教材P319)</w:t>
      </w:r>
    </w:p>
    <w:p w14:paraId="3AD5512B">
      <w:pPr>
        <w:wordWrap/>
        <w:autoSpaceDE w:val="0"/>
        <w:autoSpaceDN w:val="0"/>
        <w:spacing w:before="200" w:after="0" w:line="260" w:lineRule="atLeast"/>
        <w:ind w:left="180" w:right="0"/>
        <w:jc w:val="both"/>
        <w:textAlignment w:val="auto"/>
        <w:rPr>
          <w:sz w:val="18"/>
        </w:rPr>
      </w:pPr>
      <w:r>
        <w:rPr>
          <w:rFonts w:ascii="宋体" w:hAnsi="宋体" w:eastAsia="宋体" w:cs="宋体"/>
          <w:b w:val="0"/>
          <w:i w:val="0"/>
          <w:color w:val="000000"/>
          <w:sz w:val="18"/>
        </w:rPr>
        <w:t>15.在计算存货保本储存天数时，以下各项中不需要考虑的因素是( )。</w:t>
      </w:r>
    </w:p>
    <w:p w14:paraId="46243081">
      <w:pPr>
        <w:wordWrap/>
        <w:autoSpaceDE w:val="0"/>
        <w:autoSpaceDN w:val="0"/>
        <w:spacing w:before="200" w:after="0" w:line="280" w:lineRule="atLeast"/>
        <w:ind w:left="680" w:right="0"/>
        <w:jc w:val="both"/>
        <w:textAlignment w:val="auto"/>
        <w:rPr>
          <w:sz w:val="24"/>
        </w:rPr>
      </w:pPr>
      <w:r>
        <w:rPr>
          <w:rFonts w:ascii="宋体" w:hAnsi="宋体" w:eastAsia="宋体" w:cs="宋体"/>
          <w:b w:val="0"/>
          <w:i w:val="0"/>
          <w:color w:val="000000"/>
          <w:sz w:val="18"/>
        </w:rPr>
        <w:t>A. 销售税金(营业税金)</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8"/>
        </w:rPr>
        <w:t>B. 变动储存费</w:t>
      </w:r>
    </w:p>
    <w:p w14:paraId="3B6570BD">
      <w:pPr>
        <w:wordWrap/>
        <w:autoSpaceDE w:val="0"/>
        <w:autoSpaceDN w:val="0"/>
        <w:spacing w:before="180" w:after="0" w:line="280" w:lineRule="atLeast"/>
        <w:ind w:left="680" w:right="0"/>
        <w:jc w:val="both"/>
        <w:textAlignment w:val="auto"/>
        <w:rPr>
          <w:sz w:val="24"/>
        </w:rPr>
      </w:pPr>
      <w:r>
        <w:rPr>
          <w:rFonts w:ascii="宋体" w:hAnsi="宋体" w:eastAsia="宋体" w:cs="宋体"/>
          <w:b w:val="0"/>
          <w:i w:val="0"/>
          <w:color w:val="000000"/>
          <w:sz w:val="18"/>
        </w:rPr>
        <w:t>C. 所得税</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8"/>
        </w:rPr>
        <w:t>D. 固定储存费</w:t>
      </w:r>
    </w:p>
    <w:p w14:paraId="208C37DF">
      <w:pPr>
        <w:wordWrap/>
        <w:autoSpaceDE w:val="0"/>
        <w:autoSpaceDN w:val="0"/>
        <w:spacing w:before="220" w:after="0" w:line="260" w:lineRule="atLeast"/>
        <w:ind w:left="680" w:right="0"/>
        <w:jc w:val="both"/>
        <w:textAlignment w:val="auto"/>
        <w:rPr>
          <w:sz w:val="18"/>
        </w:rPr>
      </w:pPr>
      <w:r>
        <w:rPr>
          <w:rFonts w:ascii="宋体" w:hAnsi="宋体" w:eastAsia="宋体" w:cs="宋体"/>
          <w:b w:val="0"/>
          <w:i w:val="0"/>
          <w:color w:val="000000"/>
          <w:sz w:val="18"/>
        </w:rPr>
        <w:t>[答案]C</w:t>
      </w:r>
    </w:p>
    <w:p w14:paraId="7D36DFD6">
      <w:pPr>
        <w:wordWrap/>
        <w:autoSpaceDE w:val="0"/>
        <w:autoSpaceDN w:val="0"/>
        <w:spacing w:before="20" w:after="0" w:line="450" w:lineRule="atLeast"/>
        <w:ind w:left="680" w:right="440"/>
        <w:jc w:val="both"/>
        <w:textAlignment w:val="auto"/>
        <w:rPr>
          <w:sz w:val="18"/>
        </w:rPr>
      </w:pPr>
      <w:r>
        <w:rPr>
          <w:rFonts w:ascii="宋体" w:hAnsi="宋体" w:eastAsia="宋体" w:cs="宋体"/>
          <w:b w:val="0"/>
          <w:i w:val="0"/>
          <w:color w:val="000000"/>
          <w:sz w:val="18"/>
        </w:rPr>
        <w:t>[解析]存货保本储存天数= (毛利-固定储存费-销售税金及附加) /每日变动储存费，其中并未涉及到所得税。(教材P348)</w:t>
      </w:r>
    </w:p>
    <w:p w14:paraId="66826833">
      <w:pPr>
        <w:wordWrap/>
        <w:autoSpaceDE w:val="0"/>
        <w:autoSpaceDN w:val="0"/>
        <w:spacing w:before="160" w:after="0" w:line="260" w:lineRule="atLeast"/>
        <w:ind w:left="180" w:right="0"/>
        <w:jc w:val="both"/>
        <w:textAlignment w:val="auto"/>
        <w:rPr>
          <w:sz w:val="18"/>
        </w:rPr>
      </w:pPr>
      <w:r>
        <w:rPr>
          <w:rFonts w:ascii="宋体" w:hAnsi="宋体" w:eastAsia="宋体" w:cs="宋体"/>
          <w:b w:val="0"/>
          <w:i w:val="0"/>
          <w:color w:val="000000"/>
          <w:sz w:val="18"/>
        </w:rPr>
        <w:t>16.相对于其他股利政策而言，既可以维持股利的稳定性，又有利于优化资本结构的股利政策是()。</w:t>
      </w:r>
    </w:p>
    <w:p w14:paraId="104E8419">
      <w:pPr>
        <w:wordWrap/>
        <w:autoSpaceDE w:val="0"/>
        <w:autoSpaceDN w:val="0"/>
        <w:spacing w:before="220" w:after="0" w:line="260" w:lineRule="atLeast"/>
        <w:ind w:left="680" w:right="0"/>
        <w:jc w:val="both"/>
        <w:textAlignment w:val="auto"/>
        <w:rPr>
          <w:sz w:val="24"/>
        </w:rPr>
      </w:pPr>
      <w:r>
        <w:rPr>
          <w:rFonts w:ascii="宋体" w:hAnsi="宋体" w:eastAsia="宋体" w:cs="宋体"/>
          <w:b w:val="0"/>
          <w:i w:val="0"/>
          <w:color w:val="000000"/>
          <w:sz w:val="18"/>
        </w:rPr>
        <w:t>A. 剩余股利政策</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8"/>
        </w:rPr>
        <w:t>B. 固定股利政策</w:t>
      </w:r>
    </w:p>
    <w:p w14:paraId="4B29DABF">
      <w:pPr>
        <w:wordWrap/>
        <w:autoSpaceDE w:val="0"/>
        <w:autoSpaceDN w:val="0"/>
        <w:spacing w:before="220" w:after="0" w:line="260" w:lineRule="atLeast"/>
        <w:ind w:left="680" w:right="0"/>
        <w:jc w:val="both"/>
        <w:textAlignment w:val="auto"/>
        <w:rPr>
          <w:sz w:val="24"/>
        </w:rPr>
      </w:pPr>
      <w:r>
        <w:rPr>
          <w:rFonts w:ascii="宋体" w:hAnsi="宋体" w:eastAsia="宋体" w:cs="宋体"/>
          <w:b w:val="0"/>
          <w:i w:val="0"/>
          <w:color w:val="000000"/>
          <w:sz w:val="18"/>
        </w:rPr>
        <w:t>C. 固定股利支付率政策</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8"/>
        </w:rPr>
        <w:t>D. 低正常股利加额外股利政策</w:t>
      </w:r>
    </w:p>
    <w:p w14:paraId="5172410E">
      <w:pPr>
        <w:wordWrap/>
        <w:autoSpaceDE w:val="0"/>
        <w:autoSpaceDN w:val="0"/>
        <w:spacing w:before="220" w:after="0" w:line="260" w:lineRule="atLeast"/>
        <w:ind w:left="680" w:right="0"/>
        <w:jc w:val="both"/>
        <w:textAlignment w:val="auto"/>
        <w:rPr>
          <w:sz w:val="18"/>
        </w:rPr>
      </w:pPr>
      <w:r>
        <w:rPr>
          <w:rFonts w:ascii="宋体" w:hAnsi="宋体" w:eastAsia="宋体" w:cs="宋体"/>
          <w:b w:val="0"/>
          <w:i w:val="0"/>
          <w:color w:val="000000"/>
          <w:sz w:val="18"/>
        </w:rPr>
        <w:t>[答案]D</w:t>
      </w:r>
    </w:p>
    <w:p w14:paraId="5C17F817">
      <w:pPr>
        <w:wordWrap/>
        <w:autoSpaceDE w:val="0"/>
        <w:autoSpaceDN w:val="0"/>
        <w:spacing w:before="20" w:after="0" w:line="440" w:lineRule="atLeast"/>
        <w:ind w:left="680" w:right="440"/>
        <w:jc w:val="both"/>
        <w:textAlignment w:val="auto"/>
        <w:rPr>
          <w:sz w:val="18"/>
        </w:rPr>
      </w:pPr>
      <w:r>
        <w:rPr>
          <w:rFonts w:ascii="宋体" w:hAnsi="宋体" w:eastAsia="宋体" w:cs="宋体"/>
          <w:b w:val="0"/>
          <w:i w:val="0"/>
          <w:color w:val="000000"/>
          <w:sz w:val="18"/>
        </w:rPr>
        <w:t>[解析]低正常股利加额外股利政策的优点包括：具有较大的灵活性；既可以在一定程度上维持股利的稳定性，又有利于企业的资金结构达到目标资金结构，是灵活性与稳定性较好的相结合。(教材P369)</w:t>
      </w:r>
      <w:r>
        <w:br w:type="page"/>
      </w:r>
    </w:p>
    <w:p w14:paraId="5959B225">
      <w:pPr>
        <w:wordWrap/>
        <w:autoSpaceDE w:val="0"/>
        <w:autoSpaceDN w:val="0"/>
        <w:spacing w:before="660" w:after="0" w:line="280" w:lineRule="atLeast"/>
        <w:ind w:left="180" w:right="0"/>
        <w:jc w:val="both"/>
        <w:textAlignment w:val="auto"/>
        <w:rPr>
          <w:sz w:val="17"/>
        </w:rPr>
      </w:pPr>
      <w:r>
        <w:rPr>
          <w:rFonts w:ascii="宋体" w:hAnsi="宋体" w:eastAsia="宋体" w:cs="宋体"/>
          <w:b w:val="0"/>
          <w:i w:val="0"/>
          <w:color w:val="000000"/>
          <w:sz w:val="17"/>
        </w:rPr>
        <w:t>17.下列各项中，不属于股票回购方式的是 ( )。</w:t>
      </w:r>
    </w:p>
    <w:p w14:paraId="40C150DA">
      <w:pPr>
        <w:wordWrap/>
        <w:autoSpaceDE w:val="0"/>
        <w:autoSpaceDN w:val="0"/>
        <w:spacing w:before="220" w:after="0" w:line="260" w:lineRule="atLeast"/>
        <w:ind w:left="700" w:right="0"/>
        <w:jc w:val="both"/>
        <w:textAlignment w:val="auto"/>
        <w:rPr>
          <w:sz w:val="17"/>
        </w:rPr>
      </w:pPr>
      <w:r>
        <w:rPr>
          <w:rFonts w:ascii="宋体" w:hAnsi="宋体" w:eastAsia="宋体" w:cs="宋体"/>
          <w:b w:val="0"/>
          <w:i w:val="0"/>
          <w:color w:val="000000"/>
          <w:sz w:val="17"/>
        </w:rPr>
        <w:t>A. 用本公司普通股股票换回优先股</w:t>
      </w:r>
    </w:p>
    <w:p w14:paraId="5CB55233">
      <w:pPr>
        <w:wordWrap/>
        <w:autoSpaceDE w:val="0"/>
        <w:autoSpaceDN w:val="0"/>
        <w:spacing w:before="220" w:after="0" w:line="260" w:lineRule="atLeast"/>
        <w:ind w:left="700" w:right="0"/>
        <w:jc w:val="both"/>
        <w:textAlignment w:val="auto"/>
        <w:rPr>
          <w:sz w:val="17"/>
        </w:rPr>
      </w:pPr>
      <w:r>
        <w:rPr>
          <w:rFonts w:ascii="宋体" w:hAnsi="宋体" w:eastAsia="宋体" w:cs="宋体"/>
          <w:b w:val="0"/>
          <w:i w:val="0"/>
          <w:color w:val="000000"/>
          <w:sz w:val="17"/>
        </w:rPr>
        <w:t>B. 与少数大股东协商购买本公司普通股股票</w:t>
      </w:r>
    </w:p>
    <w:p w14:paraId="61120624">
      <w:pPr>
        <w:wordWrap/>
        <w:autoSpaceDE w:val="0"/>
        <w:autoSpaceDN w:val="0"/>
        <w:spacing w:before="160" w:after="0" w:line="280" w:lineRule="atLeast"/>
        <w:ind w:left="700" w:right="0"/>
        <w:jc w:val="both"/>
        <w:textAlignment w:val="auto"/>
        <w:rPr>
          <w:sz w:val="17"/>
        </w:rPr>
      </w:pPr>
      <w:r>
        <w:rPr>
          <w:rFonts w:ascii="宋体" w:hAnsi="宋体" w:eastAsia="宋体" w:cs="宋体"/>
          <w:b w:val="0"/>
          <w:i w:val="0"/>
          <w:color w:val="000000"/>
          <w:sz w:val="17"/>
        </w:rPr>
        <w:t>C. 在市上直接购买本公司普通股股票</w:t>
      </w:r>
    </w:p>
    <w:p w14:paraId="3659E5F9">
      <w:pPr>
        <w:wordWrap/>
        <w:autoSpaceDE w:val="0"/>
        <w:autoSpaceDN w:val="0"/>
        <w:spacing w:before="200" w:after="0" w:line="280" w:lineRule="atLeast"/>
        <w:ind w:left="700" w:right="0"/>
        <w:jc w:val="both"/>
        <w:textAlignment w:val="auto"/>
        <w:rPr>
          <w:sz w:val="17"/>
        </w:rPr>
      </w:pPr>
      <w:r>
        <w:rPr>
          <w:rFonts w:ascii="宋体" w:hAnsi="宋体" w:eastAsia="宋体" w:cs="宋体"/>
          <w:b w:val="0"/>
          <w:i w:val="0"/>
          <w:color w:val="000000"/>
          <w:sz w:val="17"/>
        </w:rPr>
        <w:t>D. 向股东标购本公司普通股股票</w:t>
      </w:r>
    </w:p>
    <w:p w14:paraId="40E2EE22">
      <w:pPr>
        <w:wordWrap/>
        <w:autoSpaceDE w:val="0"/>
        <w:autoSpaceDN w:val="0"/>
        <w:spacing w:before="220" w:after="0" w:line="260" w:lineRule="atLeast"/>
        <w:ind w:left="700" w:right="0"/>
        <w:jc w:val="both"/>
        <w:textAlignment w:val="auto"/>
        <w:rPr>
          <w:sz w:val="17"/>
        </w:rPr>
      </w:pPr>
      <w:r>
        <w:rPr>
          <w:rFonts w:ascii="宋体" w:hAnsi="宋体" w:eastAsia="宋体" w:cs="宋体"/>
          <w:b w:val="0"/>
          <w:i w:val="0"/>
          <w:color w:val="000000"/>
          <w:sz w:val="17"/>
        </w:rPr>
        <w:t>[答案]A</w:t>
      </w:r>
    </w:p>
    <w:p w14:paraId="60F1DD34">
      <w:pPr>
        <w:wordWrap/>
        <w:autoSpaceDE w:val="0"/>
        <w:autoSpaceDN w:val="0"/>
        <w:spacing w:before="200" w:after="0" w:line="260" w:lineRule="atLeast"/>
        <w:ind w:left="700" w:right="0"/>
        <w:jc w:val="both"/>
        <w:textAlignment w:val="auto"/>
        <w:rPr>
          <w:sz w:val="17"/>
        </w:rPr>
      </w:pPr>
      <w:r>
        <w:rPr>
          <w:rFonts w:ascii="宋体" w:hAnsi="宋体" w:eastAsia="宋体" w:cs="宋体"/>
          <w:b w:val="0"/>
          <w:i w:val="0"/>
          <w:color w:val="000000"/>
          <w:sz w:val="17"/>
        </w:rPr>
        <w:t>[解析]股票回购方式包括：在市场上直接购买； 向股东标购； 与少数大股东协商购买。(教材P377)</w:t>
      </w:r>
    </w:p>
    <w:p w14:paraId="18814375">
      <w:pPr>
        <w:wordWrap/>
        <w:autoSpaceDE w:val="0"/>
        <w:autoSpaceDN w:val="0"/>
        <w:spacing w:before="60" w:after="0" w:line="420" w:lineRule="atLeast"/>
        <w:ind w:left="180" w:right="460"/>
        <w:jc w:val="both"/>
        <w:textAlignment w:val="auto"/>
        <w:rPr>
          <w:sz w:val="17"/>
        </w:rPr>
      </w:pPr>
      <w:r>
        <w:rPr>
          <w:rFonts w:ascii="宋体" w:hAnsi="宋体" w:eastAsia="宋体" w:cs="宋体"/>
          <w:b w:val="0"/>
          <w:i w:val="0"/>
          <w:color w:val="000000"/>
          <w:sz w:val="17"/>
        </w:rPr>
        <w:t>18.下列项目中，原本属于日常业务预算，但因其需要根据现金预算的相关数据来编制因此被纳入财务预算的是()。</w:t>
      </w:r>
    </w:p>
    <w:p w14:paraId="4740C8F3">
      <w:pPr>
        <w:wordWrap/>
        <w:autoSpaceDE w:val="0"/>
        <w:autoSpaceDN w:val="0"/>
        <w:spacing w:before="180" w:after="0" w:line="280" w:lineRule="atLeast"/>
        <w:ind w:left="700" w:right="0"/>
        <w:jc w:val="both"/>
        <w:textAlignment w:val="auto"/>
        <w:rPr>
          <w:sz w:val="24"/>
        </w:rPr>
      </w:pPr>
      <w:r>
        <w:rPr>
          <w:rFonts w:ascii="宋体" w:hAnsi="宋体" w:eastAsia="宋体" w:cs="宋体"/>
          <w:b w:val="0"/>
          <w:i w:val="0"/>
          <w:color w:val="000000"/>
          <w:sz w:val="17"/>
        </w:rPr>
        <w:t>A. 财务费用预算</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7"/>
        </w:rPr>
        <w:t>B. 预计利润表</w:t>
      </w:r>
    </w:p>
    <w:p w14:paraId="6E2ACD9A">
      <w:pPr>
        <w:wordWrap/>
        <w:autoSpaceDE w:val="0"/>
        <w:autoSpaceDN w:val="0"/>
        <w:spacing w:before="200" w:after="0" w:line="280" w:lineRule="atLeast"/>
        <w:ind w:left="700" w:right="0"/>
        <w:jc w:val="both"/>
        <w:textAlignment w:val="auto"/>
        <w:rPr>
          <w:sz w:val="24"/>
        </w:rPr>
      </w:pPr>
      <w:r>
        <w:rPr>
          <w:rFonts w:ascii="宋体" w:hAnsi="宋体" w:eastAsia="宋体" w:cs="宋体"/>
          <w:b w:val="0"/>
          <w:i w:val="0"/>
          <w:color w:val="000000"/>
          <w:sz w:val="17"/>
        </w:rPr>
        <w:t>C. 销售费用预算</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7"/>
        </w:rPr>
        <w:t>D. 预计资产负债表</w:t>
      </w:r>
    </w:p>
    <w:p w14:paraId="02EAD1EB">
      <w:pPr>
        <w:wordWrap/>
        <w:autoSpaceDE w:val="0"/>
        <w:autoSpaceDN w:val="0"/>
        <w:spacing w:before="220" w:after="0" w:line="260" w:lineRule="atLeast"/>
        <w:ind w:left="700" w:right="0"/>
        <w:jc w:val="both"/>
        <w:textAlignment w:val="auto"/>
        <w:rPr>
          <w:sz w:val="17"/>
        </w:rPr>
      </w:pPr>
      <w:r>
        <w:rPr>
          <w:rFonts w:ascii="宋体" w:hAnsi="宋体" w:eastAsia="宋体" w:cs="宋体"/>
          <w:b w:val="0"/>
          <w:i w:val="0"/>
          <w:color w:val="000000"/>
          <w:sz w:val="17"/>
        </w:rPr>
        <w:t>[答案]A</w:t>
      </w:r>
    </w:p>
    <w:p w14:paraId="110AB51F">
      <w:pPr>
        <w:wordWrap/>
        <w:autoSpaceDE w:val="0"/>
        <w:autoSpaceDN w:val="0"/>
        <w:spacing w:before="60" w:after="0" w:line="420" w:lineRule="atLeast"/>
        <w:ind w:left="700" w:right="420"/>
        <w:jc w:val="both"/>
        <w:textAlignment w:val="auto"/>
        <w:rPr>
          <w:sz w:val="17"/>
        </w:rPr>
      </w:pPr>
      <w:r>
        <w:rPr>
          <w:rFonts w:ascii="宋体" w:hAnsi="宋体" w:eastAsia="宋体" w:cs="宋体"/>
          <w:b w:val="0"/>
          <w:i w:val="0"/>
          <w:color w:val="000000"/>
          <w:sz w:val="17"/>
        </w:rPr>
        <w:t>[解析]财务费用预算就其本质而言属于日常业务预算，但由于该预算必须根据现金预算中的资金筹措及运用的相关数据来编制，因此将其纳入财务预算范畴。(教材P433))</w:t>
      </w:r>
    </w:p>
    <w:p w14:paraId="4D7D6CB0">
      <w:pPr>
        <w:wordWrap/>
        <w:autoSpaceDE w:val="0"/>
        <w:autoSpaceDN w:val="0"/>
        <w:spacing w:before="200" w:after="0" w:line="280" w:lineRule="atLeast"/>
        <w:ind w:left="180" w:right="0"/>
        <w:jc w:val="both"/>
        <w:textAlignment w:val="auto"/>
        <w:rPr>
          <w:sz w:val="17"/>
        </w:rPr>
      </w:pPr>
      <w:r>
        <w:rPr>
          <w:rFonts w:ascii="宋体" w:hAnsi="宋体" w:eastAsia="宋体" w:cs="宋体"/>
          <w:b w:val="0"/>
          <w:i w:val="0"/>
          <w:color w:val="000000"/>
          <w:sz w:val="17"/>
        </w:rPr>
        <w:t>19.不论利润中心是否计算共同成本或不可控成本，都必须考核的指标是 ( )。</w:t>
      </w:r>
    </w:p>
    <w:p w14:paraId="5EB53746">
      <w:pPr>
        <w:wordWrap/>
        <w:autoSpaceDE w:val="0"/>
        <w:autoSpaceDN w:val="0"/>
        <w:spacing w:before="200" w:after="0" w:line="280" w:lineRule="atLeast"/>
        <w:ind w:left="700" w:right="0"/>
        <w:jc w:val="both"/>
        <w:textAlignment w:val="auto"/>
        <w:rPr>
          <w:sz w:val="24"/>
        </w:rPr>
      </w:pPr>
      <w:r>
        <w:rPr>
          <w:rFonts w:ascii="宋体" w:hAnsi="宋体" w:eastAsia="宋体" w:cs="宋体"/>
          <w:b w:val="0"/>
          <w:i w:val="0"/>
          <w:color w:val="000000"/>
          <w:sz w:val="17"/>
        </w:rPr>
        <w:t>A. 该中心的剩余收益</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7"/>
        </w:rPr>
        <w:t>B. 该中心的边际贡献总额</w:t>
      </w:r>
    </w:p>
    <w:p w14:paraId="277C27F2">
      <w:pPr>
        <w:wordWrap/>
        <w:autoSpaceDE w:val="0"/>
        <w:autoSpaceDN w:val="0"/>
        <w:spacing w:before="180" w:after="0" w:line="280" w:lineRule="atLeast"/>
        <w:ind w:left="700" w:right="0"/>
        <w:jc w:val="both"/>
        <w:textAlignment w:val="auto"/>
        <w:rPr>
          <w:sz w:val="24"/>
        </w:rPr>
      </w:pPr>
      <w:r>
        <w:rPr>
          <w:rFonts w:ascii="宋体" w:hAnsi="宋体" w:eastAsia="宋体" w:cs="宋体"/>
          <w:b w:val="0"/>
          <w:i w:val="0"/>
          <w:color w:val="000000"/>
          <w:sz w:val="17"/>
        </w:rPr>
        <w:t>C. 该中心的可控利润总额</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7"/>
        </w:rPr>
        <w:t>D. 该中心负责人的可控利润总额</w:t>
      </w:r>
    </w:p>
    <w:p w14:paraId="1E60512D">
      <w:pPr>
        <w:wordWrap/>
        <w:autoSpaceDE w:val="0"/>
        <w:autoSpaceDN w:val="0"/>
        <w:spacing w:before="220" w:after="0" w:line="260" w:lineRule="atLeast"/>
        <w:ind w:left="700" w:right="0"/>
        <w:jc w:val="both"/>
        <w:textAlignment w:val="auto"/>
        <w:rPr>
          <w:sz w:val="17"/>
        </w:rPr>
      </w:pPr>
      <w:r>
        <w:rPr>
          <w:rFonts w:ascii="宋体" w:hAnsi="宋体" w:eastAsia="宋体" w:cs="宋体"/>
          <w:b w:val="0"/>
          <w:i w:val="0"/>
          <w:color w:val="000000"/>
          <w:sz w:val="17"/>
        </w:rPr>
        <w:t>[答案]B</w:t>
      </w:r>
    </w:p>
    <w:p w14:paraId="5D0A72BD">
      <w:pPr>
        <w:wordWrap/>
        <w:autoSpaceDE w:val="0"/>
        <w:autoSpaceDN w:val="0"/>
        <w:spacing w:before="20" w:after="0" w:line="447" w:lineRule="atLeast"/>
        <w:ind w:left="700" w:right="440"/>
        <w:jc w:val="both"/>
        <w:textAlignment w:val="auto"/>
        <w:rPr>
          <w:sz w:val="17"/>
        </w:rPr>
      </w:pPr>
      <w:r>
        <w:rPr>
          <w:rFonts w:ascii="宋体" w:hAnsi="宋体" w:eastAsia="宋体" w:cs="宋体"/>
          <w:b w:val="0"/>
          <w:i w:val="0"/>
          <w:color w:val="000000"/>
          <w:sz w:val="17"/>
        </w:rPr>
        <w:t>[解析]当利润中心不计算共同成本或不可控成本时，其考核指标是利润中心的边际贡献总额；当利润中心计算共同成本或不可控成本，并采用变动成本法计算成本时，其考核指标是利润中心的边际贡献总额、利润中心负责人可控利润总额、利润中心可控利润总额。(大纲P117)</w:t>
      </w:r>
    </w:p>
    <w:p w14:paraId="7A07C898">
      <w:pPr>
        <w:wordWrap/>
        <w:autoSpaceDE w:val="0"/>
        <w:autoSpaceDN w:val="0"/>
        <w:spacing w:before="200" w:after="0" w:line="280" w:lineRule="atLeast"/>
        <w:ind w:left="180" w:right="0"/>
        <w:jc w:val="both"/>
        <w:textAlignment w:val="auto"/>
        <w:rPr>
          <w:sz w:val="17"/>
        </w:rPr>
      </w:pPr>
      <w:r>
        <w:rPr>
          <w:rFonts w:ascii="宋体" w:hAnsi="宋体" w:eastAsia="宋体" w:cs="宋体"/>
          <w:b w:val="0"/>
          <w:i w:val="0"/>
          <w:color w:val="000000"/>
          <w:sz w:val="17"/>
        </w:rPr>
        <w:t>20.在分权组织结构下，编制责任预算的程序通常是 ( )。</w:t>
      </w:r>
    </w:p>
    <w:p w14:paraId="11342E89">
      <w:pPr>
        <w:wordWrap/>
        <w:autoSpaceDE w:val="0"/>
        <w:autoSpaceDN w:val="0"/>
        <w:spacing w:before="180" w:after="0" w:line="280" w:lineRule="atLeast"/>
        <w:ind w:left="700" w:right="0"/>
        <w:jc w:val="both"/>
        <w:textAlignment w:val="auto"/>
        <w:rPr>
          <w:sz w:val="24"/>
        </w:rPr>
      </w:pPr>
      <w:r>
        <w:rPr>
          <w:rFonts w:ascii="宋体" w:hAnsi="宋体" w:eastAsia="宋体" w:cs="宋体"/>
          <w:b w:val="0"/>
          <w:i w:val="0"/>
          <w:color w:val="000000"/>
          <w:sz w:val="17"/>
        </w:rPr>
        <w:t>A. 自上而下、层层分解</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7"/>
        </w:rPr>
        <w:t>B. 自上而下、层层汇总</w:t>
      </w:r>
    </w:p>
    <w:p w14:paraId="35FD0173">
      <w:pPr>
        <w:wordWrap/>
        <w:autoSpaceDE w:val="0"/>
        <w:autoSpaceDN w:val="0"/>
        <w:spacing w:before="160" w:after="0" w:line="280" w:lineRule="atLeast"/>
        <w:ind w:left="700" w:right="0"/>
        <w:jc w:val="both"/>
        <w:textAlignment w:val="auto"/>
        <w:rPr>
          <w:sz w:val="24"/>
        </w:rPr>
      </w:pPr>
      <w:r>
        <w:rPr>
          <w:rFonts w:ascii="宋体" w:hAnsi="宋体" w:eastAsia="宋体" w:cs="宋体"/>
          <w:b w:val="0"/>
          <w:i w:val="0"/>
          <w:color w:val="000000"/>
          <w:sz w:val="17"/>
        </w:rPr>
        <w:t>C. 由下而上、层层分解</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7"/>
        </w:rPr>
        <w:t>D. 由下而上、层层汇总</w:t>
      </w:r>
    </w:p>
    <w:p w14:paraId="7ACBF344">
      <w:pPr>
        <w:wordWrap/>
        <w:autoSpaceDE w:val="0"/>
        <w:autoSpaceDN w:val="0"/>
        <w:spacing w:before="200" w:after="0" w:line="260" w:lineRule="atLeast"/>
        <w:ind w:left="700" w:right="0"/>
        <w:jc w:val="both"/>
        <w:textAlignment w:val="auto"/>
        <w:rPr>
          <w:sz w:val="17"/>
        </w:rPr>
      </w:pPr>
      <w:r>
        <w:rPr>
          <w:rFonts w:ascii="宋体" w:hAnsi="宋体" w:eastAsia="宋体" w:cs="宋体"/>
          <w:b w:val="0"/>
          <w:i w:val="0"/>
          <w:color w:val="000000"/>
          <w:sz w:val="17"/>
        </w:rPr>
        <w:t>[答案]D</w:t>
      </w:r>
    </w:p>
    <w:p w14:paraId="5703F89E">
      <w:pPr>
        <w:wordWrap/>
        <w:autoSpaceDE w:val="0"/>
        <w:autoSpaceDN w:val="0"/>
        <w:spacing w:before="220" w:after="0" w:line="260" w:lineRule="atLeast"/>
        <w:ind w:left="700" w:right="0"/>
        <w:jc w:val="both"/>
        <w:textAlignment w:val="auto"/>
        <w:rPr>
          <w:sz w:val="17"/>
        </w:rPr>
      </w:pPr>
      <w:r>
        <w:rPr>
          <w:rFonts w:ascii="宋体" w:hAnsi="宋体" w:eastAsia="宋体" w:cs="宋体"/>
          <w:b w:val="0"/>
          <w:i w:val="0"/>
          <w:color w:val="000000"/>
          <w:sz w:val="17"/>
        </w:rPr>
        <w:t>[解析]在分权组织结构下，编制责任预算的程序通常是由下而上、层层汇总。(大纲P119)</w:t>
      </w:r>
    </w:p>
    <w:p w14:paraId="2B5C9CBD">
      <w:pPr>
        <w:wordWrap/>
        <w:autoSpaceDE w:val="0"/>
        <w:autoSpaceDN w:val="0"/>
        <w:spacing w:before="200" w:after="0" w:line="280" w:lineRule="atLeast"/>
        <w:ind w:left="180" w:right="0"/>
        <w:jc w:val="both"/>
        <w:textAlignment w:val="auto"/>
        <w:rPr>
          <w:sz w:val="17"/>
        </w:rPr>
      </w:pPr>
      <w:r>
        <w:rPr>
          <w:rFonts w:ascii="宋体" w:hAnsi="宋体" w:eastAsia="宋体" w:cs="宋体"/>
          <w:b w:val="0"/>
          <w:i w:val="0"/>
          <w:color w:val="000000"/>
          <w:sz w:val="17"/>
        </w:rPr>
        <w:t>21.如果流动负债小于流动资产，则期末以现金偿付一笔短期借款所导致的结果是()。</w:t>
      </w:r>
    </w:p>
    <w:p w14:paraId="38108C91">
      <w:pPr>
        <w:wordWrap/>
        <w:autoSpaceDE w:val="0"/>
        <w:autoSpaceDN w:val="0"/>
        <w:spacing w:before="160" w:after="0" w:line="280" w:lineRule="atLeast"/>
        <w:ind w:left="700" w:right="0"/>
        <w:jc w:val="both"/>
        <w:textAlignment w:val="auto"/>
        <w:rPr>
          <w:sz w:val="24"/>
        </w:rPr>
      </w:pPr>
      <w:r>
        <w:rPr>
          <w:rFonts w:ascii="宋体" w:hAnsi="宋体" w:eastAsia="宋体" w:cs="宋体"/>
          <w:b w:val="0"/>
          <w:i w:val="0"/>
          <w:color w:val="000000"/>
          <w:sz w:val="17"/>
        </w:rPr>
        <w:t>A. 营运资金减少 B. 营运资金增加</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7"/>
        </w:rPr>
        <w:t>C. 流动比率降低</w:t>
      </w:r>
      <w:r>
        <w:rPr>
          <w:rFonts w:ascii="宋体" w:hAnsi="宋体" w:eastAsia="宋体" w:cs="宋体"/>
          <w:sz w:val="24"/>
        </w:rPr>
        <w:t xml:space="preserve">     </w:t>
      </w:r>
      <w:r>
        <w:rPr>
          <w:rFonts w:ascii="宋体" w:hAnsi="宋体" w:eastAsia="宋体" w:cs="宋体"/>
          <w:b w:val="0"/>
          <w:i w:val="0"/>
          <w:color w:val="000000"/>
          <w:sz w:val="17"/>
        </w:rPr>
        <w:t>D. 流动比率提高</w:t>
      </w:r>
    </w:p>
    <w:p w14:paraId="23EFC4D0">
      <w:pPr>
        <w:wordWrap/>
        <w:autoSpaceDE w:val="0"/>
        <w:autoSpaceDN w:val="0"/>
        <w:spacing w:before="220" w:after="0" w:line="260" w:lineRule="atLeast"/>
        <w:ind w:left="700" w:right="0"/>
        <w:jc w:val="both"/>
        <w:textAlignment w:val="auto"/>
        <w:rPr>
          <w:sz w:val="17"/>
        </w:rPr>
      </w:pPr>
      <w:r>
        <w:rPr>
          <w:rFonts w:ascii="宋体" w:hAnsi="宋体" w:eastAsia="宋体" w:cs="宋体"/>
          <w:b w:val="0"/>
          <w:i w:val="0"/>
          <w:color w:val="000000"/>
          <w:sz w:val="17"/>
        </w:rPr>
        <w:t>[答案]D</w:t>
      </w:r>
    </w:p>
    <w:p w14:paraId="5A935414">
      <w:pPr>
        <w:wordWrap/>
        <w:autoSpaceDE w:val="0"/>
        <w:autoSpaceDN w:val="0"/>
        <w:spacing w:before="200" w:after="0" w:line="260" w:lineRule="atLeast"/>
        <w:ind w:left="700" w:right="0"/>
        <w:jc w:val="both"/>
        <w:textAlignment w:val="auto"/>
        <w:rPr>
          <w:sz w:val="17"/>
        </w:rPr>
      </w:pPr>
      <w:r>
        <w:rPr>
          <w:rFonts w:ascii="宋体" w:hAnsi="宋体" w:eastAsia="宋体" w:cs="宋体"/>
          <w:b w:val="0"/>
          <w:i w:val="0"/>
          <w:color w:val="000000"/>
          <w:sz w:val="17"/>
        </w:rPr>
        <w:t>[解析]流动负债小于流动资产，假设流动资产是300万元，流动负债是200万元，即流动比率是1.5，</w:t>
      </w:r>
    </w:p>
    <w:p w14:paraId="279BFCE8">
      <w:pPr>
        <w:wordWrap/>
        <w:autoSpaceDE w:val="0"/>
        <w:autoSpaceDN w:val="0"/>
        <w:spacing w:before="240" w:after="0" w:line="280" w:lineRule="atLeast"/>
        <w:ind w:left="7020" w:right="0"/>
        <w:jc w:val="both"/>
        <w:textAlignment w:val="auto"/>
        <w:rPr>
          <w:sz w:val="24"/>
        </w:rPr>
      </w:pPr>
      <w:r>
        <w:rPr>
          <w:rFonts w:ascii="宋体" w:hAnsi="宋体" w:eastAsia="宋体" w:cs="宋体"/>
          <w:b w:val="0"/>
          <w:i w:val="0"/>
          <w:color w:val="000000"/>
          <w:sz w:val="17"/>
        </w:rPr>
        <w:t>凡师傅旗舰店</w:t>
      </w:r>
      <w:r>
        <w:rPr>
          <w:rFonts w:ascii="宋体" w:hAnsi="宋体" w:eastAsia="宋体" w:cs="宋体"/>
          <w:sz w:val="24"/>
        </w:rPr>
        <w:t xml:space="preserve"> </w:t>
      </w:r>
      <w:r>
        <w:rPr>
          <w:rFonts w:ascii="宋体" w:hAnsi="宋体" w:eastAsia="宋体" w:cs="宋体"/>
          <w:b w:val="0"/>
          <w:i w:val="0"/>
          <w:color w:val="000000"/>
          <w:sz w:val="17"/>
        </w:rPr>
        <w:t>fanshifu.tmall.com</w:t>
      </w:r>
      <w:r>
        <w:br w:type="page"/>
      </w:r>
    </w:p>
    <w:p w14:paraId="4F5BF8C8">
      <w:pPr>
        <w:wordWrap/>
        <w:autoSpaceDE w:val="0"/>
        <w:autoSpaceDN w:val="0"/>
        <w:spacing w:before="480" w:after="0" w:line="453" w:lineRule="atLeast"/>
        <w:ind w:left="1480" w:right="460"/>
        <w:jc w:val="both"/>
        <w:textAlignment w:val="auto"/>
        <w:rPr>
          <w:sz w:val="24"/>
        </w:rPr>
      </w:pPr>
      <w:r>
        <w:rPr>
          <w:rFonts w:ascii="宋体" w:hAnsi="宋体" w:eastAsia="宋体" w:cs="宋体"/>
          <w:b w:val="0"/>
          <w:i w:val="0"/>
          <w:color w:val="000000"/>
          <w:sz w:val="18"/>
        </w:rPr>
        <w:t>期末以现金100万元偿付一笔短期借款，则流动资产变为200万元，流动负债变为100万元，所以流动比率变为2(增大)。原营运资金</w:t>
      </w:r>
      <w:r>
        <w:rPr>
          <w:rFonts w:ascii="宋体" w:hAnsi="宋体" w:eastAsia="宋体" w:cs="宋体"/>
          <w:sz w:val="24"/>
        </w:rPr>
        <w:t xml:space="preserve">      </w:t>
      </w:r>
      <w:r>
        <w:rPr>
          <w:rFonts w:ascii="宋体" w:hAnsi="宋体" w:eastAsia="宋体" w:cs="宋体"/>
          <w:sz w:val="6"/>
        </w:rPr>
        <w:t xml:space="preserve">  </w:t>
      </w:r>
      <w:r>
        <w:t xml:space="preserve"> </w:t>
      </w:r>
      <m:oMath>
        <m:r>
          <m:rPr/>
          <w:rPr>
            <w:rFonts w:ascii="Cambria Math" w:hAnsi="Cambria Math"/>
            <w:sz w:val="18"/>
            <w:szCs w:val="18"/>
          </w:rPr>
          <m:t>=300−200=100</m:t>
        </m:r>
      </m:oMath>
      <w:r>
        <w:rPr>
          <w:rFonts w:ascii="宋体" w:hAnsi="宋体" w:eastAsia="宋体" w:cs="宋体"/>
          <w:b w:val="0"/>
          <w:i w:val="0"/>
          <w:color w:val="000000"/>
          <w:sz w:val="18"/>
        </w:rPr>
        <w:t>万元，变化后的营运资金=200-100=100万元(不变)。</w:t>
      </w:r>
    </w:p>
    <w:p w14:paraId="23A92BCB">
      <w:pPr>
        <w:wordWrap/>
        <w:autoSpaceDE w:val="0"/>
        <w:autoSpaceDN w:val="0"/>
        <w:spacing w:before="200" w:after="0" w:line="260" w:lineRule="atLeast"/>
        <w:ind w:left="160" w:right="0"/>
        <w:jc w:val="both"/>
        <w:textAlignment w:val="auto"/>
        <w:rPr>
          <w:sz w:val="18"/>
        </w:rPr>
      </w:pPr>
      <w:r>
        <w:rPr>
          <w:rFonts w:ascii="宋体" w:hAnsi="宋体" w:eastAsia="宋体" w:cs="宋体"/>
          <w:b w:val="0"/>
          <w:i w:val="0"/>
          <w:color w:val="000000"/>
          <w:sz w:val="18"/>
        </w:rPr>
        <w:t>22.下列各项展开式中不等于每股收益的是 ( )。</w:t>
      </w:r>
    </w:p>
    <w:p w14:paraId="1558EC53">
      <w:pPr>
        <w:wordWrap/>
        <w:autoSpaceDE w:val="0"/>
        <w:autoSpaceDN w:val="0"/>
        <w:spacing w:before="200" w:after="0" w:line="280" w:lineRule="atLeast"/>
        <w:ind w:left="700" w:right="0"/>
        <w:jc w:val="both"/>
        <w:textAlignment w:val="auto"/>
        <w:rPr>
          <w:sz w:val="18"/>
        </w:rPr>
      </w:pPr>
      <w:r>
        <w:rPr>
          <w:rFonts w:ascii="宋体" w:hAnsi="宋体" w:eastAsia="宋体" w:cs="宋体"/>
          <w:b w:val="0"/>
          <w:i w:val="0"/>
          <w:color w:val="000000"/>
          <w:sz w:val="18"/>
        </w:rPr>
        <w:t>A. 总资产收益率×平均每股净资产</w:t>
      </w:r>
    </w:p>
    <w:p w14:paraId="198FAFD7">
      <w:pPr>
        <w:wordWrap/>
        <w:autoSpaceDE w:val="0"/>
        <w:autoSpaceDN w:val="0"/>
        <w:spacing w:before="200" w:after="0" w:line="280" w:lineRule="atLeast"/>
        <w:ind w:left="700" w:right="0"/>
        <w:jc w:val="both"/>
        <w:textAlignment w:val="auto"/>
        <w:rPr>
          <w:sz w:val="18"/>
        </w:rPr>
      </w:pPr>
      <w:r>
        <w:rPr>
          <w:rFonts w:ascii="宋体" w:hAnsi="宋体" w:eastAsia="宋体" w:cs="宋体"/>
          <w:b w:val="0"/>
          <w:i w:val="0"/>
          <w:color w:val="000000"/>
          <w:sz w:val="18"/>
        </w:rPr>
        <w:t>B. 股东权益收益率×平均每股净资产</w:t>
      </w:r>
    </w:p>
    <w:p w14:paraId="330A2735">
      <w:pPr>
        <w:wordWrap/>
        <w:autoSpaceDE w:val="0"/>
        <w:autoSpaceDN w:val="0"/>
        <w:spacing w:before="180" w:after="0" w:line="260" w:lineRule="atLeast"/>
        <w:ind w:left="700" w:right="0"/>
        <w:jc w:val="both"/>
        <w:textAlignment w:val="auto"/>
        <w:rPr>
          <w:sz w:val="18"/>
        </w:rPr>
      </w:pPr>
      <w:r>
        <w:rPr>
          <w:rFonts w:ascii="宋体" w:hAnsi="宋体" w:eastAsia="宋体" w:cs="宋体"/>
          <w:b w:val="0"/>
          <w:i w:val="0"/>
          <w:color w:val="000000"/>
          <w:sz w:val="18"/>
        </w:rPr>
        <w:t>C. 总资产收益率×权益乘数×平均每股净资产</w:t>
      </w:r>
    </w:p>
    <w:p w14:paraId="0DF3D3C6">
      <w:pPr>
        <w:wordWrap/>
        <w:autoSpaceDE w:val="0"/>
        <w:autoSpaceDN w:val="0"/>
        <w:spacing w:before="220" w:after="0" w:line="260" w:lineRule="atLeast"/>
        <w:ind w:left="700" w:right="0"/>
        <w:jc w:val="both"/>
        <w:textAlignment w:val="auto"/>
        <w:rPr>
          <w:sz w:val="18"/>
        </w:rPr>
      </w:pPr>
      <w:r>
        <w:rPr>
          <w:rFonts w:ascii="宋体" w:hAnsi="宋体" w:eastAsia="宋体" w:cs="宋体"/>
          <w:b w:val="0"/>
          <w:i w:val="0"/>
          <w:color w:val="000000"/>
          <w:sz w:val="18"/>
        </w:rPr>
        <w:t>D. 主营业务收入净利率×总资产周转率×权益乘数×平均每股净资产</w:t>
      </w:r>
    </w:p>
    <w:p w14:paraId="6AD5F71E">
      <w:pPr>
        <w:wordWrap/>
        <w:autoSpaceDE w:val="0"/>
        <w:autoSpaceDN w:val="0"/>
        <w:spacing w:before="220" w:after="0" w:line="260" w:lineRule="atLeast"/>
        <w:ind w:left="700" w:right="0"/>
        <w:jc w:val="both"/>
        <w:textAlignment w:val="auto"/>
        <w:rPr>
          <w:sz w:val="18"/>
        </w:rPr>
      </w:pPr>
      <w:r>
        <w:rPr>
          <w:rFonts w:ascii="宋体" w:hAnsi="宋体" w:eastAsia="宋体" w:cs="宋体"/>
          <w:b w:val="0"/>
          <w:i w:val="0"/>
          <w:color w:val="000000"/>
          <w:sz w:val="18"/>
        </w:rPr>
        <w:t>[答案]A</w:t>
      </w:r>
    </w:p>
    <w:p w14:paraId="4DFE882E">
      <w:pPr>
        <w:wordWrap/>
        <w:autoSpaceDE w:val="0"/>
        <w:autoSpaceDN w:val="0"/>
        <w:spacing w:before="180" w:after="0" w:line="280" w:lineRule="atLeast"/>
        <w:ind w:left="700" w:right="0"/>
        <w:jc w:val="both"/>
        <w:textAlignment w:val="auto"/>
        <w:rPr>
          <w:sz w:val="18"/>
        </w:rPr>
      </w:pPr>
      <w:r>
        <w:rPr>
          <w:rFonts w:ascii="宋体" w:hAnsi="宋体" w:eastAsia="宋体" w:cs="宋体"/>
          <w:b w:val="0"/>
          <w:i w:val="0"/>
          <w:color w:val="000000"/>
          <w:sz w:val="18"/>
        </w:rPr>
        <w:t>[解析]每股收益=股东权益收益率×平均每股净资产</w:t>
      </w:r>
    </w:p>
    <w:p w14:paraId="320858B3">
      <w:pPr>
        <w:wordWrap/>
        <w:autoSpaceDE w:val="0"/>
        <w:autoSpaceDN w:val="0"/>
        <w:spacing w:before="180" w:after="0" w:line="280" w:lineRule="atLeast"/>
        <w:ind w:left="1480" w:right="0"/>
        <w:jc w:val="both"/>
        <w:textAlignment w:val="auto"/>
        <w:rPr>
          <w:sz w:val="18"/>
        </w:rPr>
      </w:pPr>
      <w:r>
        <w:rPr>
          <w:rFonts w:ascii="宋体" w:hAnsi="宋体" w:eastAsia="宋体" w:cs="宋体"/>
          <w:b w:val="0"/>
          <w:i w:val="0"/>
          <w:color w:val="000000"/>
          <w:sz w:val="18"/>
        </w:rPr>
        <w:t>=总资产收益率×权益乘数×平均每股净资产</w:t>
      </w:r>
    </w:p>
    <w:p w14:paraId="3955D1FD">
      <w:pPr>
        <w:wordWrap/>
        <w:autoSpaceDE w:val="0"/>
        <w:autoSpaceDN w:val="0"/>
        <w:spacing w:before="220" w:after="0" w:line="260" w:lineRule="atLeast"/>
        <w:ind w:left="1480" w:right="0"/>
        <w:jc w:val="both"/>
        <w:textAlignment w:val="auto"/>
        <w:rPr>
          <w:sz w:val="18"/>
        </w:rPr>
      </w:pPr>
      <w:r>
        <w:rPr>
          <w:rFonts w:ascii="宋体" w:hAnsi="宋体" w:eastAsia="宋体" w:cs="宋体"/>
          <w:b w:val="0"/>
          <w:i w:val="0"/>
          <w:color w:val="000000"/>
          <w:sz w:val="18"/>
        </w:rPr>
        <w:t>=主营业务收入净利率×总资产周转率×权益乘数×平均每股净资产</w:t>
      </w:r>
    </w:p>
    <w:p w14:paraId="489741B8">
      <w:pPr>
        <w:wordWrap/>
        <w:autoSpaceDE w:val="0"/>
        <w:autoSpaceDN w:val="0"/>
        <w:spacing w:before="200" w:after="0" w:line="280" w:lineRule="atLeast"/>
        <w:ind w:left="1480" w:right="0"/>
        <w:jc w:val="both"/>
        <w:textAlignment w:val="auto"/>
        <w:rPr>
          <w:sz w:val="18"/>
        </w:rPr>
      </w:pPr>
      <w:r>
        <w:rPr>
          <w:rFonts w:ascii="宋体" w:hAnsi="宋体" w:eastAsia="宋体" w:cs="宋体"/>
          <w:b w:val="0"/>
          <w:i w:val="0"/>
          <w:color w:val="000000"/>
          <w:sz w:val="18"/>
        </w:rPr>
        <w:t>(教材P521-522)</w:t>
      </w:r>
    </w:p>
    <w:p w14:paraId="23937C53">
      <w:pPr>
        <w:wordWrap/>
        <w:autoSpaceDE w:val="0"/>
        <w:autoSpaceDN w:val="0"/>
        <w:spacing w:before="160" w:after="0" w:line="260" w:lineRule="atLeast"/>
        <w:ind w:left="160" w:right="0"/>
        <w:jc w:val="both"/>
        <w:textAlignment w:val="auto"/>
        <w:rPr>
          <w:sz w:val="18"/>
        </w:rPr>
      </w:pPr>
      <w:r>
        <w:rPr>
          <w:rFonts w:ascii="宋体" w:hAnsi="宋体" w:eastAsia="宋体" w:cs="宋体"/>
          <w:b w:val="0"/>
          <w:i w:val="0"/>
          <w:color w:val="000000"/>
          <w:sz w:val="18"/>
        </w:rPr>
        <w:t>23.在没有通货膨胀的条件下，纯利率是指( )。</w:t>
      </w:r>
    </w:p>
    <w:p w14:paraId="7F616A02">
      <w:pPr>
        <w:wordWrap/>
        <w:autoSpaceDE w:val="0"/>
        <w:autoSpaceDN w:val="0"/>
        <w:spacing w:before="240" w:after="0" w:line="260" w:lineRule="atLeast"/>
        <w:ind w:left="700" w:right="0"/>
        <w:jc w:val="both"/>
        <w:textAlignment w:val="auto"/>
        <w:rPr>
          <w:sz w:val="24"/>
        </w:rPr>
      </w:pPr>
      <w:r>
        <w:rPr>
          <w:rFonts w:ascii="宋体" w:hAnsi="宋体" w:eastAsia="宋体" w:cs="宋体"/>
          <w:b w:val="0"/>
          <w:i w:val="0"/>
          <w:color w:val="000000"/>
          <w:sz w:val="18"/>
        </w:rPr>
        <w:t>A. 投资期望收益率</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8"/>
        </w:rPr>
        <w:t>B. 银行贷款基准利率</w:t>
      </w:r>
    </w:p>
    <w:p w14:paraId="7DD0CBD2">
      <w:pPr>
        <w:wordWrap/>
        <w:autoSpaceDE w:val="0"/>
        <w:autoSpaceDN w:val="0"/>
        <w:spacing w:before="220" w:after="0" w:line="260" w:lineRule="atLeast"/>
        <w:ind w:left="700" w:right="0"/>
        <w:jc w:val="both"/>
        <w:textAlignment w:val="auto"/>
        <w:rPr>
          <w:sz w:val="24"/>
        </w:rPr>
      </w:pPr>
      <w:r>
        <w:rPr>
          <w:rFonts w:ascii="宋体" w:hAnsi="宋体" w:eastAsia="宋体" w:cs="宋体"/>
          <w:b w:val="0"/>
          <w:i w:val="0"/>
          <w:color w:val="000000"/>
          <w:sz w:val="18"/>
        </w:rPr>
        <w:t>C. 社会实际平均收益率</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8"/>
        </w:rPr>
        <w:t>D. 没有风险的均衡点利率</w:t>
      </w:r>
    </w:p>
    <w:p w14:paraId="07E53BE1">
      <w:pPr>
        <w:wordWrap/>
        <w:autoSpaceDE w:val="0"/>
        <w:autoSpaceDN w:val="0"/>
        <w:spacing w:before="220" w:after="0" w:line="260" w:lineRule="atLeast"/>
        <w:ind w:left="700" w:right="0"/>
        <w:jc w:val="both"/>
        <w:textAlignment w:val="auto"/>
        <w:rPr>
          <w:sz w:val="18"/>
        </w:rPr>
      </w:pPr>
      <w:r>
        <w:rPr>
          <w:rFonts w:ascii="宋体" w:hAnsi="宋体" w:eastAsia="宋体" w:cs="宋体"/>
          <w:b w:val="0"/>
          <w:i w:val="0"/>
          <w:color w:val="000000"/>
          <w:sz w:val="18"/>
        </w:rPr>
        <w:t>[答案]D</w:t>
      </w:r>
    </w:p>
    <w:p w14:paraId="1B62390F">
      <w:pPr>
        <w:wordWrap/>
        <w:autoSpaceDE w:val="0"/>
        <w:autoSpaceDN w:val="0"/>
        <w:spacing w:before="180" w:after="0" w:line="260" w:lineRule="atLeast"/>
        <w:ind w:left="700" w:right="0"/>
        <w:jc w:val="both"/>
        <w:textAlignment w:val="auto"/>
        <w:rPr>
          <w:sz w:val="18"/>
        </w:rPr>
      </w:pPr>
      <w:r>
        <w:rPr>
          <w:rFonts w:ascii="宋体" w:hAnsi="宋体" w:eastAsia="宋体" w:cs="宋体"/>
          <w:b w:val="0"/>
          <w:i w:val="0"/>
          <w:color w:val="000000"/>
          <w:sz w:val="18"/>
        </w:rPr>
        <w:t>[解析]纯利率是指没有风险、没有通货膨胀情况下的均衡点利率。(教材P20)</w:t>
      </w:r>
    </w:p>
    <w:p w14:paraId="1D104A12">
      <w:pPr>
        <w:wordWrap/>
        <w:autoSpaceDE w:val="0"/>
        <w:autoSpaceDN w:val="0"/>
        <w:spacing w:before="200" w:after="0" w:line="260" w:lineRule="atLeast"/>
        <w:ind w:left="160" w:right="0"/>
        <w:jc w:val="both"/>
        <w:textAlignment w:val="auto"/>
        <w:rPr>
          <w:sz w:val="18"/>
        </w:rPr>
      </w:pPr>
      <w:r>
        <w:rPr>
          <w:rFonts w:ascii="宋体" w:hAnsi="宋体" w:eastAsia="宋体" w:cs="宋体"/>
          <w:b w:val="0"/>
          <w:i w:val="0"/>
          <w:color w:val="000000"/>
          <w:sz w:val="18"/>
        </w:rPr>
        <w:t>24.下列各项中，不能协调所有者与债权人之间矛盾的方式是 ( )。</w:t>
      </w:r>
    </w:p>
    <w:p w14:paraId="41930B3D">
      <w:pPr>
        <w:wordWrap/>
        <w:autoSpaceDE w:val="0"/>
        <w:autoSpaceDN w:val="0"/>
        <w:spacing w:before="200" w:after="0" w:line="280" w:lineRule="atLeast"/>
        <w:ind w:left="700" w:right="0"/>
        <w:jc w:val="both"/>
        <w:textAlignment w:val="auto"/>
        <w:rPr>
          <w:sz w:val="24"/>
        </w:rPr>
      </w:pPr>
      <w:r>
        <w:rPr>
          <w:rFonts w:ascii="宋体" w:hAnsi="宋体" w:eastAsia="宋体" w:cs="宋体"/>
          <w:b w:val="0"/>
          <w:i w:val="0"/>
          <w:color w:val="000000"/>
          <w:sz w:val="18"/>
        </w:rPr>
        <w:t>A. 市场对公司强行接收或吞并</w:t>
      </w:r>
      <w:r>
        <w:rPr>
          <w:rFonts w:ascii="宋体" w:hAnsi="宋体" w:eastAsia="宋体" w:cs="宋体"/>
          <w:sz w:val="24"/>
        </w:rPr>
        <w:t xml:space="preserve">           </w:t>
      </w:r>
      <w:r>
        <w:rPr>
          <w:rFonts w:ascii="宋体" w:hAnsi="宋体" w:eastAsia="宋体" w:cs="宋体"/>
          <w:b w:val="0"/>
          <w:i w:val="0"/>
          <w:color w:val="000000"/>
          <w:sz w:val="18"/>
        </w:rPr>
        <w:t>B. 债权人通过合同实施限制性借款</w:t>
      </w:r>
    </w:p>
    <w:p w14:paraId="72048050">
      <w:pPr>
        <w:wordWrap/>
        <w:autoSpaceDE w:val="0"/>
        <w:autoSpaceDN w:val="0"/>
        <w:spacing w:before="200" w:after="0" w:line="280" w:lineRule="atLeast"/>
        <w:ind w:left="700" w:right="0"/>
        <w:jc w:val="both"/>
        <w:textAlignment w:val="auto"/>
        <w:rPr>
          <w:sz w:val="24"/>
        </w:rPr>
      </w:pPr>
      <w:r>
        <w:rPr>
          <w:rFonts w:ascii="宋体" w:hAnsi="宋体" w:eastAsia="宋体" w:cs="宋体"/>
          <w:b w:val="0"/>
          <w:i w:val="0"/>
          <w:color w:val="000000"/>
          <w:sz w:val="18"/>
        </w:rPr>
        <w:t>C. 债权人停止借款</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8"/>
        </w:rPr>
        <w:t>D. 债权人收回借款</w:t>
      </w:r>
    </w:p>
    <w:p w14:paraId="3D4448D2">
      <w:pPr>
        <w:wordWrap/>
        <w:autoSpaceDE w:val="0"/>
        <w:autoSpaceDN w:val="0"/>
        <w:spacing w:before="200" w:after="0" w:line="260" w:lineRule="atLeast"/>
        <w:ind w:left="700" w:right="0"/>
        <w:jc w:val="both"/>
        <w:textAlignment w:val="auto"/>
        <w:rPr>
          <w:sz w:val="18"/>
        </w:rPr>
      </w:pPr>
      <w:r>
        <w:rPr>
          <w:rFonts w:ascii="宋体" w:hAnsi="宋体" w:eastAsia="宋体" w:cs="宋体"/>
          <w:b w:val="0"/>
          <w:i w:val="0"/>
          <w:color w:val="000000"/>
          <w:sz w:val="18"/>
        </w:rPr>
        <w:t>[答案]A</w:t>
      </w:r>
    </w:p>
    <w:p w14:paraId="7F19EB1F">
      <w:pPr>
        <w:wordWrap/>
        <w:autoSpaceDE w:val="0"/>
        <w:autoSpaceDN w:val="0"/>
        <w:spacing w:before="40" w:after="0" w:line="440" w:lineRule="atLeast"/>
        <w:ind w:left="700" w:right="400"/>
        <w:jc w:val="both"/>
        <w:textAlignment w:val="auto"/>
        <w:rPr>
          <w:sz w:val="18"/>
        </w:rPr>
      </w:pPr>
      <w:r>
        <w:rPr>
          <w:rFonts w:ascii="宋体" w:hAnsi="宋体" w:eastAsia="宋体" w:cs="宋体"/>
          <w:b w:val="0"/>
          <w:i w:val="0"/>
          <w:color w:val="000000"/>
          <w:sz w:val="18"/>
        </w:rPr>
        <w:t>[解析]为协调所有者与债权人之间矛盾，通常采用的方式是：限制性借债；收回借款或停止借款。(教材P25)</w:t>
      </w:r>
    </w:p>
    <w:p w14:paraId="1BBDB73B">
      <w:pPr>
        <w:wordWrap/>
        <w:autoSpaceDE w:val="0"/>
        <w:autoSpaceDN w:val="0"/>
        <w:spacing w:before="0" w:after="0" w:line="447" w:lineRule="atLeast"/>
        <w:ind w:left="160" w:right="400"/>
        <w:jc w:val="both"/>
        <w:textAlignment w:val="auto"/>
        <w:rPr>
          <w:sz w:val="18"/>
        </w:rPr>
      </w:pPr>
      <w:r>
        <w:rPr>
          <w:rFonts w:ascii="宋体" w:hAnsi="宋体" w:eastAsia="宋体" w:cs="宋体"/>
          <w:b w:val="0"/>
          <w:i w:val="0"/>
          <w:color w:val="000000"/>
          <w:sz w:val="18"/>
        </w:rPr>
        <w:t>25.某企业于年初存入银行10000元, 假定年利息率为12%, 每年复利两次.已知(F/P, 6%, 5)=1.3382,(F/P, 6%, 10) =1.7908,(F/P, 12%, 5)=1.7623,(F/P, 12%, 10) =3.1058, 则第5年末的本利和为()元。</w:t>
      </w:r>
    </w:p>
    <w:p w14:paraId="18B0CB06">
      <w:pPr>
        <w:wordWrap/>
        <w:autoSpaceDE w:val="0"/>
        <w:autoSpaceDN w:val="0"/>
        <w:spacing w:before="180" w:after="0" w:line="280" w:lineRule="atLeast"/>
        <w:ind w:left="700" w:right="0"/>
        <w:jc w:val="both"/>
        <w:textAlignment w:val="auto"/>
        <w:rPr>
          <w:sz w:val="24"/>
        </w:rPr>
      </w:pPr>
      <w:r>
        <w:rPr>
          <w:rFonts w:ascii="宋体" w:hAnsi="宋体" w:eastAsia="宋体" w:cs="宋体"/>
          <w:b w:val="0"/>
          <w:i w:val="0"/>
          <w:color w:val="000000"/>
          <w:sz w:val="18"/>
        </w:rPr>
        <w:t>A. 13382</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8"/>
        </w:rPr>
        <w:t>B. 17623</w:t>
      </w:r>
      <w:r>
        <w:rPr>
          <w:rFonts w:ascii="宋体" w:hAnsi="宋体" w:eastAsia="宋体" w:cs="宋体"/>
          <w:sz w:val="24"/>
        </w:rPr>
        <w:t xml:space="preserve">          </w:t>
      </w:r>
      <w:r>
        <w:rPr>
          <w:rFonts w:ascii="宋体" w:hAnsi="宋体" w:eastAsia="宋体" w:cs="宋体"/>
          <w:b w:val="0"/>
          <w:i w:val="0"/>
          <w:color w:val="000000"/>
          <w:sz w:val="18"/>
        </w:rPr>
        <w:t>C. 17908</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8"/>
        </w:rPr>
        <w:t>D. 31058</w:t>
      </w:r>
    </w:p>
    <w:p w14:paraId="5D7B371D">
      <w:pPr>
        <w:wordWrap/>
        <w:autoSpaceDE w:val="0"/>
        <w:autoSpaceDN w:val="0"/>
        <w:spacing w:before="220" w:after="0" w:line="260" w:lineRule="atLeast"/>
        <w:ind w:left="700" w:right="0"/>
        <w:jc w:val="both"/>
        <w:textAlignment w:val="auto"/>
        <w:rPr>
          <w:sz w:val="18"/>
        </w:rPr>
      </w:pPr>
      <w:r>
        <w:rPr>
          <w:rFonts w:ascii="宋体" w:hAnsi="宋体" w:eastAsia="宋体" w:cs="宋体"/>
          <w:b w:val="0"/>
          <w:i w:val="0"/>
          <w:color w:val="000000"/>
          <w:sz w:val="18"/>
        </w:rPr>
        <w:t>[答案]C</w:t>
      </w:r>
    </w:p>
    <w:p w14:paraId="0F6F3B4D">
      <w:pPr>
        <w:wordWrap/>
        <w:autoSpaceDE w:val="0"/>
        <w:autoSpaceDN w:val="0"/>
        <w:spacing w:before="180" w:after="0" w:line="300" w:lineRule="atLeast"/>
        <w:ind w:left="700" w:right="0"/>
        <w:jc w:val="both"/>
        <w:textAlignment w:val="auto"/>
        <w:rPr>
          <w:sz w:val="24"/>
        </w:rPr>
      </w:pPr>
      <w:r>
        <w:rPr>
          <w:rFonts w:ascii="宋体" w:hAnsi="宋体" w:eastAsia="宋体" w:cs="宋体"/>
          <w:b w:val="0"/>
          <w:i w:val="0"/>
          <w:color w:val="000000"/>
          <w:sz w:val="18"/>
        </w:rPr>
        <w:t>[解析]第5年末的本利和</w:t>
      </w:r>
      <w:r>
        <w:rPr>
          <w:rFonts w:ascii="宋体" w:hAnsi="宋体" w:eastAsia="宋体" w:cs="宋体"/>
          <w:sz w:val="24"/>
        </w:rPr>
        <w:t xml:space="preserve">  </w:t>
      </w:r>
      <w:r>
        <w:rPr>
          <w:rFonts w:ascii="宋体" w:hAnsi="宋体" w:eastAsia="宋体" w:cs="宋体"/>
          <w:sz w:val="6"/>
        </w:rPr>
        <w:t xml:space="preserve">   </w:t>
      </w:r>
      <w:r>
        <w:t xml:space="preserve"> </w:t>
      </w:r>
      <m:oMath>
        <m:r>
          <m:rPr/>
          <w:rPr>
            <w:rFonts w:ascii="Cambria Math" w:hAnsi="Cambria Math"/>
            <w:sz w:val="18"/>
            <w:szCs w:val="18"/>
          </w:rPr>
          <m:t>=10000×(F/P₁6</m:t>
        </m:r>
      </m:oMath>
      <w:r>
        <w:rPr>
          <w:rFonts w:ascii="宋体" w:hAnsi="宋体" w:eastAsia="宋体" w:cs="宋体"/>
          <w:b w:val="0"/>
          <w:i w:val="0"/>
          <w:color w:val="000000"/>
          <w:sz w:val="18"/>
        </w:rPr>
        <w:t>(元)。</w:t>
      </w:r>
      <w:r>
        <w:br w:type="page"/>
      </w:r>
    </w:p>
    <w:p w14:paraId="3AB1C4F9">
      <w:pPr>
        <w:wordWrap/>
        <w:autoSpaceDE w:val="0"/>
        <w:autoSpaceDN w:val="0"/>
        <w:spacing w:before="680" w:after="0" w:line="260" w:lineRule="atLeast"/>
        <w:ind w:left="4180" w:right="0"/>
        <w:jc w:val="both"/>
        <w:textAlignment w:val="auto"/>
        <w:rPr>
          <w:sz w:val="16"/>
        </w:rPr>
      </w:pPr>
      <w:r>
        <w:rPr>
          <w:rFonts w:ascii="宋体" w:hAnsi="宋体" w:eastAsia="宋体" w:cs="宋体"/>
          <w:b/>
          <w:i w:val="0"/>
          <w:color w:val="000000"/>
          <w:sz w:val="16"/>
        </w:rPr>
        <w:t>二、多项选择题</w:t>
      </w:r>
    </w:p>
    <w:p w14:paraId="502826F8">
      <w:pPr>
        <w:wordWrap/>
        <w:autoSpaceDE w:val="0"/>
        <w:autoSpaceDN w:val="0"/>
        <w:spacing w:before="200" w:after="0" w:line="260" w:lineRule="atLeast"/>
        <w:ind w:left="160" w:right="0"/>
        <w:jc w:val="both"/>
        <w:textAlignment w:val="auto"/>
        <w:rPr>
          <w:sz w:val="18"/>
        </w:rPr>
      </w:pPr>
      <w:r>
        <w:rPr>
          <w:rFonts w:ascii="宋体" w:hAnsi="宋体" w:eastAsia="宋体" w:cs="宋体"/>
          <w:b w:val="0"/>
          <w:i w:val="0"/>
          <w:color w:val="000000"/>
          <w:sz w:val="18"/>
        </w:rPr>
        <w:t>26.下列各项中，可用于计算单一方案净现值指标的方法有 ( )。</w:t>
      </w:r>
    </w:p>
    <w:p w14:paraId="7322933A">
      <w:pPr>
        <w:wordWrap/>
        <w:autoSpaceDE w:val="0"/>
        <w:autoSpaceDN w:val="0"/>
        <w:spacing w:before="200" w:after="0" w:line="280" w:lineRule="atLeast"/>
        <w:ind w:left="700" w:right="0"/>
        <w:jc w:val="both"/>
        <w:textAlignment w:val="auto"/>
        <w:rPr>
          <w:sz w:val="24"/>
        </w:rPr>
      </w:pPr>
      <w:r>
        <w:rPr>
          <w:rFonts w:ascii="宋体" w:hAnsi="宋体" w:eastAsia="宋体" w:cs="宋体"/>
          <w:b w:val="0"/>
          <w:i w:val="0"/>
          <w:color w:val="000000"/>
          <w:sz w:val="18"/>
        </w:rPr>
        <w:t>A. 公式法</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8"/>
        </w:rPr>
        <w:t>B. 方案重复法</w:t>
      </w:r>
      <w:r>
        <w:rPr>
          <w:rFonts w:ascii="宋体" w:hAnsi="宋体" w:eastAsia="宋体" w:cs="宋体"/>
          <w:sz w:val="24"/>
        </w:rPr>
        <w:t xml:space="preserve">      </w:t>
      </w:r>
      <w:r>
        <w:rPr>
          <w:rFonts w:ascii="宋体" w:hAnsi="宋体" w:eastAsia="宋体" w:cs="宋体"/>
          <w:b w:val="0"/>
          <w:i w:val="0"/>
          <w:color w:val="000000"/>
          <w:sz w:val="18"/>
        </w:rPr>
        <w:t>C. 插入函数法</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8"/>
        </w:rPr>
        <w:t>D. 逐次测试法</w:t>
      </w:r>
    </w:p>
    <w:p w14:paraId="32FFB7CA">
      <w:pPr>
        <w:wordWrap/>
        <w:autoSpaceDE w:val="0"/>
        <w:autoSpaceDN w:val="0"/>
        <w:spacing w:before="200" w:after="0" w:line="260" w:lineRule="atLeast"/>
        <w:ind w:left="700" w:right="0"/>
        <w:jc w:val="both"/>
        <w:textAlignment w:val="auto"/>
        <w:rPr>
          <w:sz w:val="18"/>
        </w:rPr>
      </w:pPr>
      <w:r>
        <w:rPr>
          <w:rFonts w:ascii="宋体" w:hAnsi="宋体" w:eastAsia="宋体" w:cs="宋体"/>
          <w:b w:val="0"/>
          <w:i w:val="0"/>
          <w:color w:val="000000"/>
          <w:sz w:val="18"/>
        </w:rPr>
        <w:t>[答案]AC</w:t>
      </w:r>
    </w:p>
    <w:p w14:paraId="69CEE7F5">
      <w:pPr>
        <w:wordWrap/>
        <w:autoSpaceDE w:val="0"/>
        <w:autoSpaceDN w:val="0"/>
        <w:spacing w:before="20" w:after="0" w:line="460" w:lineRule="atLeast"/>
        <w:ind w:left="700" w:right="460"/>
        <w:jc w:val="both"/>
        <w:textAlignment w:val="auto"/>
        <w:rPr>
          <w:sz w:val="18"/>
        </w:rPr>
      </w:pPr>
      <w:r>
        <w:rPr>
          <w:rFonts w:ascii="宋体" w:hAnsi="宋体" w:eastAsia="宋体" w:cs="宋体"/>
          <w:b w:val="0"/>
          <w:i w:val="0"/>
          <w:color w:val="000000"/>
          <w:sz w:val="18"/>
        </w:rPr>
        <w:t>[解析]净现值的计算方法有：一般方法(公式法、列表法)；特殊方法； 插入函数法。(教材P233?237)</w:t>
      </w:r>
    </w:p>
    <w:p w14:paraId="2E38AD13">
      <w:pPr>
        <w:wordWrap/>
        <w:autoSpaceDE w:val="0"/>
        <w:autoSpaceDN w:val="0"/>
        <w:spacing w:before="180" w:after="0" w:line="260" w:lineRule="atLeast"/>
        <w:ind w:left="160" w:right="0"/>
        <w:jc w:val="both"/>
        <w:textAlignment w:val="auto"/>
        <w:rPr>
          <w:sz w:val="18"/>
        </w:rPr>
      </w:pPr>
      <w:r>
        <w:rPr>
          <w:rFonts w:ascii="宋体" w:hAnsi="宋体" w:eastAsia="宋体" w:cs="宋体"/>
          <w:b w:val="0"/>
          <w:i w:val="0"/>
          <w:color w:val="000000"/>
          <w:sz w:val="18"/>
        </w:rPr>
        <w:t>27.契约型基金又称单位信托基金，其当事人包括 ( )。</w:t>
      </w:r>
    </w:p>
    <w:p w14:paraId="67567860">
      <w:pPr>
        <w:wordWrap/>
        <w:autoSpaceDE w:val="0"/>
        <w:autoSpaceDN w:val="0"/>
        <w:spacing w:before="220" w:after="0" w:line="260" w:lineRule="atLeast"/>
        <w:ind w:left="700" w:right="0"/>
        <w:jc w:val="both"/>
        <w:textAlignment w:val="auto"/>
        <w:rPr>
          <w:sz w:val="24"/>
        </w:rPr>
      </w:pPr>
      <w:r>
        <w:rPr>
          <w:rFonts w:ascii="宋体" w:hAnsi="宋体" w:eastAsia="宋体" w:cs="宋体"/>
          <w:b w:val="0"/>
          <w:i w:val="0"/>
          <w:color w:val="000000"/>
          <w:sz w:val="18"/>
        </w:rPr>
        <w:t>A. 受益人</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8"/>
        </w:rPr>
        <w:t>B. 管理人</w:t>
      </w:r>
      <w:r>
        <w:rPr>
          <w:rFonts w:ascii="宋体" w:hAnsi="宋体" w:eastAsia="宋体" w:cs="宋体"/>
          <w:sz w:val="24"/>
        </w:rPr>
        <w:t xml:space="preserve">         </w:t>
      </w:r>
      <w:r>
        <w:rPr>
          <w:rFonts w:ascii="宋体" w:hAnsi="宋体" w:eastAsia="宋体" w:cs="宋体"/>
          <w:b w:val="0"/>
          <w:i w:val="0"/>
          <w:color w:val="000000"/>
          <w:sz w:val="18"/>
        </w:rPr>
        <w:t>C. 托管人</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8"/>
        </w:rPr>
        <w:t>D. 投资人</w:t>
      </w:r>
    </w:p>
    <w:p w14:paraId="7343B57D">
      <w:pPr>
        <w:wordWrap/>
        <w:autoSpaceDE w:val="0"/>
        <w:autoSpaceDN w:val="0"/>
        <w:spacing w:before="200" w:after="0" w:line="280" w:lineRule="atLeast"/>
        <w:ind w:left="700" w:right="0"/>
        <w:jc w:val="both"/>
        <w:textAlignment w:val="auto"/>
        <w:rPr>
          <w:sz w:val="18"/>
        </w:rPr>
      </w:pPr>
      <w:r>
        <w:rPr>
          <w:rFonts w:ascii="宋体" w:hAnsi="宋体" w:eastAsia="宋体" w:cs="宋体"/>
          <w:b w:val="0"/>
          <w:i w:val="0"/>
          <w:color w:val="000000"/>
          <w:sz w:val="18"/>
        </w:rPr>
        <w:t>[答案]ABCD</w:t>
      </w:r>
    </w:p>
    <w:p w14:paraId="60EDEB47">
      <w:pPr>
        <w:wordWrap/>
        <w:autoSpaceDE w:val="0"/>
        <w:autoSpaceDN w:val="0"/>
        <w:spacing w:before="40" w:after="0" w:line="430" w:lineRule="atLeast"/>
        <w:ind w:left="160" w:right="420" w:firstLine="540"/>
        <w:jc w:val="both"/>
        <w:textAlignment w:val="auto"/>
        <w:rPr>
          <w:sz w:val="18"/>
        </w:rPr>
      </w:pPr>
      <w:r>
        <w:rPr>
          <w:rFonts w:ascii="宋体" w:hAnsi="宋体" w:eastAsia="宋体" w:cs="宋体"/>
          <w:b w:val="0"/>
          <w:i w:val="0"/>
          <w:color w:val="000000"/>
          <w:sz w:val="18"/>
        </w:rPr>
        <w:t>[解析]契约型基金又称单位信托基金，其当事人包括受益人(投资者)、管理人、托管人。(教材P299)28.赊销在企业生产经营中所发挥的作用有 ( )。</w:t>
      </w:r>
    </w:p>
    <w:p w14:paraId="736416AD">
      <w:pPr>
        <w:wordWrap/>
        <w:autoSpaceDE w:val="0"/>
        <w:autoSpaceDN w:val="0"/>
        <w:spacing w:before="220" w:after="0" w:line="260" w:lineRule="atLeast"/>
        <w:ind w:left="700" w:right="0"/>
        <w:jc w:val="both"/>
        <w:textAlignment w:val="auto"/>
        <w:rPr>
          <w:sz w:val="24"/>
        </w:rPr>
      </w:pPr>
      <w:r>
        <w:rPr>
          <w:rFonts w:ascii="宋体" w:hAnsi="宋体" w:eastAsia="宋体" w:cs="宋体"/>
          <w:b w:val="0"/>
          <w:i w:val="0"/>
          <w:color w:val="000000"/>
          <w:sz w:val="18"/>
        </w:rPr>
        <w:t>A. 增加现金</w:t>
      </w:r>
      <w:r>
        <w:rPr>
          <w:rFonts w:ascii="宋体" w:hAnsi="宋体" w:eastAsia="宋体" w:cs="宋体"/>
          <w:sz w:val="24"/>
        </w:rPr>
        <w:t xml:space="preserve">       </w:t>
      </w:r>
      <w:r>
        <w:rPr>
          <w:rFonts w:ascii="宋体" w:hAnsi="宋体" w:eastAsia="宋体" w:cs="宋体"/>
          <w:b w:val="0"/>
          <w:i w:val="0"/>
          <w:color w:val="000000"/>
          <w:sz w:val="18"/>
        </w:rPr>
        <w:t>B. 减少存货</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8"/>
        </w:rPr>
        <w:t>C. 促进销售</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8"/>
        </w:rPr>
        <w:t>D. 减少借款</w:t>
      </w:r>
    </w:p>
    <w:p w14:paraId="078219F8">
      <w:pPr>
        <w:wordWrap/>
        <w:autoSpaceDE w:val="0"/>
        <w:autoSpaceDN w:val="0"/>
        <w:spacing w:before="220" w:after="0" w:line="260" w:lineRule="atLeast"/>
        <w:ind w:left="700" w:right="0"/>
        <w:jc w:val="both"/>
        <w:textAlignment w:val="auto"/>
        <w:rPr>
          <w:sz w:val="18"/>
        </w:rPr>
      </w:pPr>
      <w:r>
        <w:rPr>
          <w:rFonts w:ascii="宋体" w:hAnsi="宋体" w:eastAsia="宋体" w:cs="宋体"/>
          <w:b w:val="0"/>
          <w:i w:val="0"/>
          <w:color w:val="000000"/>
          <w:sz w:val="18"/>
        </w:rPr>
        <w:t>[答案]BC</w:t>
      </w:r>
    </w:p>
    <w:p w14:paraId="235D42C3">
      <w:pPr>
        <w:wordWrap/>
        <w:autoSpaceDE w:val="0"/>
        <w:autoSpaceDN w:val="0"/>
        <w:spacing w:before="180" w:after="0" w:line="280" w:lineRule="atLeast"/>
        <w:ind w:left="700" w:right="0"/>
        <w:jc w:val="both"/>
        <w:textAlignment w:val="auto"/>
        <w:rPr>
          <w:sz w:val="18"/>
        </w:rPr>
      </w:pPr>
      <w:r>
        <w:rPr>
          <w:rFonts w:ascii="宋体" w:hAnsi="宋体" w:eastAsia="宋体" w:cs="宋体"/>
          <w:b w:val="0"/>
          <w:i w:val="0"/>
          <w:color w:val="000000"/>
          <w:sz w:val="18"/>
        </w:rPr>
        <w:t>[解析]本题考查的是应收账款的功能：促进销售； 减少存货。(教材P320?321)</w:t>
      </w:r>
    </w:p>
    <w:p w14:paraId="333CF06A">
      <w:pPr>
        <w:wordWrap/>
        <w:autoSpaceDE w:val="0"/>
        <w:autoSpaceDN w:val="0"/>
        <w:spacing w:before="200" w:after="0" w:line="260" w:lineRule="atLeast"/>
        <w:ind w:left="160" w:right="0"/>
        <w:jc w:val="both"/>
        <w:textAlignment w:val="auto"/>
        <w:rPr>
          <w:sz w:val="18"/>
        </w:rPr>
      </w:pPr>
      <w:r>
        <w:rPr>
          <w:rFonts w:ascii="宋体" w:hAnsi="宋体" w:eastAsia="宋体" w:cs="宋体"/>
          <w:b w:val="0"/>
          <w:i w:val="0"/>
          <w:color w:val="000000"/>
          <w:sz w:val="18"/>
        </w:rPr>
        <w:t>29.公司在制定利润分配政策时应考虑的因素有( )。</w:t>
      </w:r>
    </w:p>
    <w:p w14:paraId="3BD8CE2B">
      <w:pPr>
        <w:wordWrap/>
        <w:autoSpaceDE w:val="0"/>
        <w:autoSpaceDN w:val="0"/>
        <w:spacing w:before="220" w:after="0" w:line="260" w:lineRule="atLeast"/>
        <w:ind w:left="700" w:right="0"/>
        <w:jc w:val="both"/>
        <w:textAlignment w:val="auto"/>
        <w:rPr>
          <w:sz w:val="24"/>
        </w:rPr>
      </w:pPr>
      <w:r>
        <w:rPr>
          <w:rFonts w:ascii="宋体" w:hAnsi="宋体" w:eastAsia="宋体" w:cs="宋体"/>
          <w:b w:val="0"/>
          <w:i w:val="0"/>
          <w:color w:val="000000"/>
          <w:sz w:val="18"/>
        </w:rPr>
        <w:t>A. 通货膨胀因素</w:t>
      </w:r>
      <w:r>
        <w:rPr>
          <w:rFonts w:ascii="宋体" w:hAnsi="宋体" w:eastAsia="宋体" w:cs="宋体"/>
          <w:sz w:val="24"/>
        </w:rPr>
        <w:t xml:space="preserve">    </w:t>
      </w:r>
      <w:r>
        <w:rPr>
          <w:rFonts w:ascii="宋体" w:hAnsi="宋体" w:eastAsia="宋体" w:cs="宋体"/>
          <w:b w:val="0"/>
          <w:i w:val="0"/>
          <w:color w:val="000000"/>
          <w:sz w:val="18"/>
        </w:rPr>
        <w:t>B. 股东因素</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8"/>
        </w:rPr>
        <w:t>C. 法律因素</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8"/>
        </w:rPr>
        <w:t>D. 公司因素</w:t>
      </w:r>
    </w:p>
    <w:p w14:paraId="3252A1EC">
      <w:pPr>
        <w:wordWrap/>
        <w:autoSpaceDE w:val="0"/>
        <w:autoSpaceDN w:val="0"/>
        <w:spacing w:before="200" w:after="0" w:line="260" w:lineRule="atLeast"/>
        <w:ind w:left="700" w:right="0"/>
        <w:jc w:val="both"/>
        <w:textAlignment w:val="auto"/>
        <w:rPr>
          <w:sz w:val="18"/>
        </w:rPr>
      </w:pPr>
      <w:r>
        <w:rPr>
          <w:rFonts w:ascii="宋体" w:hAnsi="宋体" w:eastAsia="宋体" w:cs="宋体"/>
          <w:b w:val="0"/>
          <w:i w:val="0"/>
          <w:color w:val="000000"/>
          <w:sz w:val="18"/>
        </w:rPr>
        <w:t>[答案]ABCD</w:t>
      </w:r>
    </w:p>
    <w:p w14:paraId="51BAF060">
      <w:pPr>
        <w:wordWrap/>
        <w:autoSpaceDE w:val="0"/>
        <w:autoSpaceDN w:val="0"/>
        <w:spacing w:before="20" w:after="0" w:line="450" w:lineRule="atLeast"/>
        <w:ind w:left="700" w:right="420"/>
        <w:jc w:val="both"/>
        <w:textAlignment w:val="auto"/>
        <w:rPr>
          <w:sz w:val="18"/>
        </w:rPr>
      </w:pPr>
      <w:r>
        <w:rPr>
          <w:rFonts w:ascii="宋体" w:hAnsi="宋体" w:eastAsia="宋体" w:cs="宋体"/>
          <w:b w:val="0"/>
          <w:i w:val="0"/>
          <w:color w:val="000000"/>
          <w:sz w:val="18"/>
        </w:rPr>
        <w:t>[解析]公司在制定利润分配政策时应考虑的因素包括：法律因素、股东因素、公司因素、其他因素(债务合同限制、通货膨胀)。(教材P358?361)</w:t>
      </w:r>
    </w:p>
    <w:p w14:paraId="3804657E">
      <w:pPr>
        <w:wordWrap/>
        <w:autoSpaceDE w:val="0"/>
        <w:autoSpaceDN w:val="0"/>
        <w:spacing w:before="200" w:after="0" w:line="260" w:lineRule="atLeast"/>
        <w:ind w:left="160" w:right="0"/>
        <w:jc w:val="both"/>
        <w:textAlignment w:val="auto"/>
        <w:rPr>
          <w:sz w:val="18"/>
        </w:rPr>
      </w:pPr>
      <w:r>
        <w:rPr>
          <w:rFonts w:ascii="宋体" w:hAnsi="宋体" w:eastAsia="宋体" w:cs="宋体"/>
          <w:b w:val="0"/>
          <w:i w:val="0"/>
          <w:color w:val="000000"/>
          <w:sz w:val="18"/>
        </w:rPr>
        <w:t>30.在编制现金预算的过程中，可作为其编制依据的有 ()。</w:t>
      </w:r>
    </w:p>
    <w:p w14:paraId="63A51190">
      <w:pPr>
        <w:wordWrap/>
        <w:autoSpaceDE w:val="0"/>
        <w:autoSpaceDN w:val="0"/>
        <w:spacing w:before="220" w:after="0" w:line="260" w:lineRule="atLeast"/>
        <w:ind w:left="700" w:right="0"/>
        <w:jc w:val="both"/>
        <w:textAlignment w:val="auto"/>
        <w:rPr>
          <w:sz w:val="24"/>
        </w:rPr>
      </w:pPr>
      <w:r>
        <w:rPr>
          <w:rFonts w:ascii="宋体" w:hAnsi="宋体" w:eastAsia="宋体" w:cs="宋体"/>
          <w:b w:val="0"/>
          <w:i w:val="0"/>
          <w:color w:val="000000"/>
          <w:sz w:val="18"/>
        </w:rPr>
        <w:t>A. 日常业务预算</w:t>
      </w:r>
      <w:r>
        <w:rPr>
          <w:rFonts w:ascii="宋体" w:hAnsi="宋体" w:eastAsia="宋体" w:cs="宋体"/>
          <w:sz w:val="24"/>
        </w:rPr>
        <w:t xml:space="preserve">                    </w:t>
      </w:r>
      <w:r>
        <w:rPr>
          <w:rFonts w:ascii="宋体" w:hAnsi="宋体" w:eastAsia="宋体" w:cs="宋体"/>
          <w:b w:val="0"/>
          <w:i w:val="0"/>
          <w:color w:val="000000"/>
          <w:sz w:val="18"/>
        </w:rPr>
        <w:t>B. 预计利润表</w:t>
      </w:r>
    </w:p>
    <w:p w14:paraId="13F026EB">
      <w:pPr>
        <w:wordWrap/>
        <w:autoSpaceDE w:val="0"/>
        <w:autoSpaceDN w:val="0"/>
        <w:spacing w:before="200" w:after="0" w:line="260" w:lineRule="atLeast"/>
        <w:ind w:left="700" w:right="0"/>
        <w:jc w:val="both"/>
        <w:textAlignment w:val="auto"/>
        <w:rPr>
          <w:sz w:val="24"/>
        </w:rPr>
      </w:pPr>
      <w:r>
        <w:rPr>
          <w:rFonts w:ascii="宋体" w:hAnsi="宋体" w:eastAsia="宋体" w:cs="宋体"/>
          <w:b w:val="0"/>
          <w:i w:val="0"/>
          <w:color w:val="000000"/>
          <w:sz w:val="18"/>
        </w:rPr>
        <w:t>C. 预计资产负债表</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8"/>
        </w:rPr>
        <w:t>D. 特种决策预算</w:t>
      </w:r>
    </w:p>
    <w:p w14:paraId="3E2B9DFA">
      <w:pPr>
        <w:wordWrap/>
        <w:autoSpaceDE w:val="0"/>
        <w:autoSpaceDN w:val="0"/>
        <w:spacing w:before="200" w:after="0" w:line="280" w:lineRule="atLeast"/>
        <w:ind w:left="700" w:right="0"/>
        <w:jc w:val="both"/>
        <w:textAlignment w:val="auto"/>
        <w:rPr>
          <w:sz w:val="18"/>
        </w:rPr>
      </w:pPr>
      <w:r>
        <w:rPr>
          <w:rFonts w:ascii="宋体" w:hAnsi="宋体" w:eastAsia="宋体" w:cs="宋体"/>
          <w:b w:val="0"/>
          <w:i w:val="0"/>
          <w:color w:val="000000"/>
          <w:sz w:val="18"/>
        </w:rPr>
        <w:t>[答案]AD</w:t>
      </w:r>
    </w:p>
    <w:p w14:paraId="3348006F">
      <w:pPr>
        <w:wordWrap/>
        <w:autoSpaceDE w:val="0"/>
        <w:autoSpaceDN w:val="0"/>
        <w:spacing w:before="160" w:after="0" w:line="280" w:lineRule="atLeast"/>
        <w:ind w:left="700" w:right="0"/>
        <w:jc w:val="both"/>
        <w:textAlignment w:val="auto"/>
        <w:rPr>
          <w:sz w:val="18"/>
        </w:rPr>
      </w:pPr>
      <w:r>
        <w:rPr>
          <w:rFonts w:ascii="宋体" w:hAnsi="宋体" w:eastAsia="宋体" w:cs="宋体"/>
          <w:b w:val="0"/>
          <w:i w:val="0"/>
          <w:color w:val="000000"/>
          <w:sz w:val="18"/>
        </w:rPr>
        <w:t>[解析]现金预算亦称现金收支预算，它是以日常业务预算和特种决策预算为基础编制的。(教材P398)</w:t>
      </w:r>
    </w:p>
    <w:p w14:paraId="38FF6CAF">
      <w:pPr>
        <w:wordWrap/>
        <w:autoSpaceDE w:val="0"/>
        <w:autoSpaceDN w:val="0"/>
        <w:spacing w:before="200" w:after="0" w:line="260" w:lineRule="atLeast"/>
        <w:ind w:left="160" w:right="0"/>
        <w:jc w:val="both"/>
        <w:textAlignment w:val="auto"/>
        <w:rPr>
          <w:sz w:val="18"/>
        </w:rPr>
      </w:pPr>
      <w:r>
        <w:rPr>
          <w:rFonts w:ascii="宋体" w:hAnsi="宋体" w:eastAsia="宋体" w:cs="宋体"/>
          <w:b w:val="0"/>
          <w:i w:val="0"/>
          <w:color w:val="000000"/>
          <w:sz w:val="18"/>
        </w:rPr>
        <w:t>31.下列各项中，属于财务控制要素的有 ()。</w:t>
      </w:r>
    </w:p>
    <w:p w14:paraId="0751DE37">
      <w:pPr>
        <w:wordWrap/>
        <w:autoSpaceDE w:val="0"/>
        <w:autoSpaceDN w:val="0"/>
        <w:spacing w:before="220" w:after="0" w:line="260" w:lineRule="atLeast"/>
        <w:ind w:left="700" w:right="0"/>
        <w:jc w:val="both"/>
        <w:textAlignment w:val="auto"/>
        <w:rPr>
          <w:sz w:val="24"/>
        </w:rPr>
      </w:pPr>
      <w:r>
        <w:rPr>
          <w:rFonts w:ascii="宋体" w:hAnsi="宋体" w:eastAsia="宋体" w:cs="宋体"/>
          <w:b w:val="0"/>
          <w:i w:val="0"/>
          <w:color w:val="000000"/>
          <w:sz w:val="18"/>
        </w:rPr>
        <w:t>A. 目标设定</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8"/>
        </w:rPr>
        <w:t>B. 风险评估</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8"/>
        </w:rPr>
        <w:t>C. 监控</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8"/>
        </w:rPr>
        <w:t>D. 风险应对</w:t>
      </w:r>
    </w:p>
    <w:p w14:paraId="637B8A40">
      <w:pPr>
        <w:wordWrap/>
        <w:autoSpaceDE w:val="0"/>
        <w:autoSpaceDN w:val="0"/>
        <w:spacing w:before="220" w:after="0" w:line="260" w:lineRule="atLeast"/>
        <w:ind w:left="700" w:right="0"/>
        <w:jc w:val="both"/>
        <w:textAlignment w:val="auto"/>
        <w:rPr>
          <w:sz w:val="18"/>
        </w:rPr>
      </w:pPr>
      <w:r>
        <w:rPr>
          <w:rFonts w:ascii="宋体" w:hAnsi="宋体" w:eastAsia="宋体" w:cs="宋体"/>
          <w:b w:val="0"/>
          <w:i w:val="0"/>
          <w:color w:val="000000"/>
          <w:sz w:val="18"/>
        </w:rPr>
        <w:t>[答案]ABCD</w:t>
      </w:r>
    </w:p>
    <w:p w14:paraId="507D2959">
      <w:pPr>
        <w:wordWrap/>
        <w:autoSpaceDE w:val="0"/>
        <w:autoSpaceDN w:val="0"/>
        <w:spacing w:before="20" w:after="0" w:line="440" w:lineRule="atLeast"/>
        <w:ind w:left="700" w:right="420"/>
        <w:jc w:val="both"/>
        <w:textAlignment w:val="auto"/>
        <w:rPr>
          <w:sz w:val="18"/>
        </w:rPr>
      </w:pPr>
      <w:r>
        <w:rPr>
          <w:rFonts w:ascii="宋体" w:hAnsi="宋体" w:eastAsia="宋体" w:cs="宋体"/>
          <w:b w:val="0"/>
          <w:i w:val="0"/>
          <w:color w:val="000000"/>
          <w:sz w:val="18"/>
        </w:rPr>
        <w:t>[解析]财务控制的要素包括：控制环境、目标设定、事件识别、风险评估、风险应对、控制活动、信息与沟通、监控。(教材447?448)</w:t>
      </w:r>
    </w:p>
    <w:p w14:paraId="55750A82">
      <w:pPr>
        <w:wordWrap/>
        <w:autoSpaceDE w:val="0"/>
        <w:autoSpaceDN w:val="0"/>
        <w:spacing w:before="200" w:after="0" w:line="260" w:lineRule="atLeast"/>
        <w:ind w:left="160" w:right="0"/>
        <w:jc w:val="both"/>
        <w:textAlignment w:val="auto"/>
        <w:rPr>
          <w:sz w:val="18"/>
        </w:rPr>
      </w:pPr>
      <w:r>
        <w:rPr>
          <w:rFonts w:ascii="宋体" w:hAnsi="宋体" w:eastAsia="宋体" w:cs="宋体"/>
          <w:b w:val="0"/>
          <w:i w:val="0"/>
          <w:color w:val="000000"/>
          <w:sz w:val="18"/>
        </w:rPr>
        <w:t>32.下列各项中，与净资产收益率密切相关的有( )。</w:t>
      </w:r>
    </w:p>
    <w:p w14:paraId="019CF88A">
      <w:pPr>
        <w:wordWrap/>
        <w:autoSpaceDE w:val="0"/>
        <w:autoSpaceDN w:val="0"/>
        <w:spacing w:before="220" w:after="0" w:line="260" w:lineRule="atLeast"/>
        <w:ind w:left="8180" w:right="0"/>
        <w:jc w:val="both"/>
        <w:textAlignment w:val="auto"/>
        <w:rPr>
          <w:sz w:val="18"/>
        </w:rPr>
      </w:pPr>
      <w:r>
        <w:rPr>
          <w:rFonts w:ascii="宋体" w:hAnsi="宋体" w:eastAsia="宋体" w:cs="宋体"/>
          <w:b w:val="0"/>
          <w:i w:val="0"/>
          <w:color w:val="000000"/>
          <w:sz w:val="18"/>
        </w:rPr>
        <w:t>fanshifu.tmall.com</w:t>
      </w:r>
      <w:r>
        <w:br w:type="page"/>
      </w:r>
    </w:p>
    <w:p w14:paraId="788D66B6">
      <w:pPr>
        <w:wordWrap/>
        <w:autoSpaceDE w:val="0"/>
        <w:autoSpaceDN w:val="0"/>
        <w:spacing w:before="660" w:after="0" w:line="280" w:lineRule="atLeast"/>
        <w:ind w:left="700" w:right="0"/>
        <w:jc w:val="both"/>
        <w:textAlignment w:val="auto"/>
        <w:rPr>
          <w:sz w:val="24"/>
        </w:rPr>
      </w:pPr>
      <w:r>
        <w:rPr>
          <w:rFonts w:ascii="宋体" w:hAnsi="宋体" w:eastAsia="宋体" w:cs="宋体"/>
          <w:b w:val="0"/>
          <w:i w:val="0"/>
          <w:color w:val="000000"/>
          <w:sz w:val="18"/>
        </w:rPr>
        <w:t>A. 主营业务净利率</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8"/>
        </w:rPr>
        <w:t>B. 总资产周转率</w:t>
      </w:r>
    </w:p>
    <w:p w14:paraId="361A3850">
      <w:pPr>
        <w:wordWrap/>
        <w:autoSpaceDE w:val="0"/>
        <w:autoSpaceDN w:val="0"/>
        <w:spacing w:before="200" w:after="0" w:line="280" w:lineRule="atLeast"/>
        <w:ind w:left="700" w:right="0"/>
        <w:jc w:val="both"/>
        <w:textAlignment w:val="auto"/>
        <w:rPr>
          <w:sz w:val="24"/>
        </w:rPr>
      </w:pPr>
      <w:r>
        <w:rPr>
          <w:rFonts w:ascii="宋体" w:hAnsi="宋体" w:eastAsia="宋体" w:cs="宋体"/>
          <w:b w:val="0"/>
          <w:i w:val="0"/>
          <w:color w:val="000000"/>
          <w:sz w:val="18"/>
        </w:rPr>
        <w:t>C. 总资产增长率</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8"/>
        </w:rPr>
        <w:t>D. 权益乘数</w:t>
      </w:r>
    </w:p>
    <w:p w14:paraId="60D174CF">
      <w:pPr>
        <w:wordWrap/>
        <w:autoSpaceDE w:val="0"/>
        <w:autoSpaceDN w:val="0"/>
        <w:spacing w:before="200" w:after="0" w:line="260" w:lineRule="atLeast"/>
        <w:ind w:left="700" w:right="0"/>
        <w:jc w:val="both"/>
        <w:textAlignment w:val="auto"/>
        <w:rPr>
          <w:sz w:val="18"/>
        </w:rPr>
      </w:pPr>
      <w:r>
        <w:rPr>
          <w:rFonts w:ascii="宋体" w:hAnsi="宋体" w:eastAsia="宋体" w:cs="宋体"/>
          <w:b w:val="0"/>
          <w:i w:val="0"/>
          <w:color w:val="000000"/>
          <w:sz w:val="18"/>
        </w:rPr>
        <w:t>[答案]ABD</w:t>
      </w:r>
    </w:p>
    <w:p w14:paraId="210DF1C5">
      <w:pPr>
        <w:wordWrap/>
        <w:autoSpaceDE w:val="0"/>
        <w:autoSpaceDN w:val="0"/>
        <w:spacing w:before="200" w:after="0" w:line="260" w:lineRule="atLeast"/>
        <w:ind w:left="700" w:right="0"/>
        <w:jc w:val="both"/>
        <w:textAlignment w:val="auto"/>
        <w:rPr>
          <w:sz w:val="18"/>
        </w:rPr>
      </w:pPr>
      <w:r>
        <w:rPr>
          <w:rFonts w:ascii="宋体" w:hAnsi="宋体" w:eastAsia="宋体" w:cs="宋体"/>
          <w:b w:val="0"/>
          <w:i w:val="0"/>
          <w:color w:val="000000"/>
          <w:sz w:val="18"/>
        </w:rPr>
        <w:t>[解析]净资产收益率=主营业务净利率×总资产周转率×权益乘数。(教材P529)</w:t>
      </w:r>
    </w:p>
    <w:p w14:paraId="6B46D48F">
      <w:pPr>
        <w:wordWrap/>
        <w:autoSpaceDE w:val="0"/>
        <w:autoSpaceDN w:val="0"/>
        <w:spacing w:before="200" w:after="0" w:line="260" w:lineRule="atLeast"/>
        <w:ind w:left="160" w:right="0"/>
        <w:jc w:val="both"/>
        <w:textAlignment w:val="auto"/>
        <w:rPr>
          <w:sz w:val="18"/>
        </w:rPr>
      </w:pPr>
      <w:r>
        <w:rPr>
          <w:rFonts w:ascii="宋体" w:hAnsi="宋体" w:eastAsia="宋体" w:cs="宋体"/>
          <w:b w:val="0"/>
          <w:i w:val="0"/>
          <w:color w:val="000000"/>
          <w:sz w:val="18"/>
        </w:rPr>
        <w:t>33.下列项目中，属于转移风险对策的有 ()。</w:t>
      </w:r>
    </w:p>
    <w:p w14:paraId="3A1D6763">
      <w:pPr>
        <w:wordWrap/>
        <w:autoSpaceDE w:val="0"/>
        <w:autoSpaceDN w:val="0"/>
        <w:spacing w:before="220" w:after="0" w:line="280" w:lineRule="atLeast"/>
        <w:ind w:left="700" w:right="0"/>
        <w:jc w:val="both"/>
        <w:textAlignment w:val="auto"/>
        <w:rPr>
          <w:sz w:val="24"/>
        </w:rPr>
      </w:pPr>
      <w:r>
        <w:rPr>
          <w:rFonts w:ascii="宋体" w:hAnsi="宋体" w:eastAsia="宋体" w:cs="宋体"/>
          <w:b w:val="0"/>
          <w:i w:val="0"/>
          <w:color w:val="000000"/>
          <w:sz w:val="18"/>
        </w:rPr>
        <w:t>A. 进行准确的预测</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8"/>
        </w:rPr>
        <w:t>B. 向保险公司投保</w:t>
      </w:r>
    </w:p>
    <w:p w14:paraId="01D7252D">
      <w:pPr>
        <w:wordWrap/>
        <w:autoSpaceDE w:val="0"/>
        <w:autoSpaceDN w:val="0"/>
        <w:spacing w:before="200" w:after="0" w:line="260" w:lineRule="atLeast"/>
        <w:ind w:left="700" w:right="0"/>
        <w:jc w:val="both"/>
        <w:textAlignment w:val="auto"/>
        <w:rPr>
          <w:sz w:val="24"/>
        </w:rPr>
      </w:pPr>
      <w:r>
        <w:rPr>
          <w:rFonts w:ascii="宋体" w:hAnsi="宋体" w:eastAsia="宋体" w:cs="宋体"/>
          <w:b w:val="0"/>
          <w:i w:val="0"/>
          <w:color w:val="000000"/>
          <w:sz w:val="18"/>
        </w:rPr>
        <w:t>C. 租赁经营</w:t>
      </w:r>
      <w:r>
        <w:rPr>
          <w:rFonts w:ascii="宋体" w:hAnsi="宋体" w:eastAsia="宋体" w:cs="宋体"/>
          <w:sz w:val="24"/>
        </w:rPr>
        <w:t xml:space="preserve">                       </w:t>
      </w:r>
      <w:r>
        <w:rPr>
          <w:rFonts w:ascii="宋体" w:hAnsi="宋体" w:eastAsia="宋体" w:cs="宋体"/>
          <w:b w:val="0"/>
          <w:i w:val="0"/>
          <w:color w:val="000000"/>
          <w:sz w:val="18"/>
        </w:rPr>
        <w:t>D. 业务外包</w:t>
      </w:r>
    </w:p>
    <w:p w14:paraId="0D3F5BCA">
      <w:pPr>
        <w:wordWrap/>
        <w:autoSpaceDE w:val="0"/>
        <w:autoSpaceDN w:val="0"/>
        <w:spacing w:before="200" w:after="0" w:line="260" w:lineRule="atLeast"/>
        <w:ind w:left="700" w:right="0"/>
        <w:jc w:val="both"/>
        <w:textAlignment w:val="auto"/>
        <w:rPr>
          <w:sz w:val="18"/>
        </w:rPr>
      </w:pPr>
      <w:r>
        <w:rPr>
          <w:rFonts w:ascii="宋体" w:hAnsi="宋体" w:eastAsia="宋体" w:cs="宋体"/>
          <w:b w:val="0"/>
          <w:i w:val="0"/>
          <w:color w:val="000000"/>
          <w:sz w:val="18"/>
        </w:rPr>
        <w:t>[答案]BCD</w:t>
      </w:r>
    </w:p>
    <w:p w14:paraId="54E996CB">
      <w:pPr>
        <w:wordWrap/>
        <w:autoSpaceDE w:val="0"/>
        <w:autoSpaceDN w:val="0"/>
        <w:spacing w:before="20" w:after="0" w:line="447" w:lineRule="atLeast"/>
        <w:ind w:left="700" w:right="440"/>
        <w:jc w:val="both"/>
        <w:textAlignment w:val="auto"/>
        <w:rPr>
          <w:sz w:val="18"/>
        </w:rPr>
      </w:pPr>
      <w:r>
        <w:rPr>
          <w:rFonts w:ascii="宋体" w:hAnsi="宋体" w:eastAsia="宋体" w:cs="宋体"/>
          <w:b w:val="0"/>
          <w:i w:val="0"/>
          <w:color w:val="000000"/>
          <w:sz w:val="18"/>
        </w:rPr>
        <w:t>[解析]转移风险的对策包括：向专业性保险公司投保；采取合资、联营、增发新股、发行债券、联合开发等措施实现风险共担； 通过技术转让、特许经营、战略联盟、租赁经营和业务外包等实现风险转移。进行准确的预测是减少风险的方法(教材P54?55)</w:t>
      </w:r>
    </w:p>
    <w:p w14:paraId="330F9234">
      <w:pPr>
        <w:wordWrap/>
        <w:autoSpaceDE w:val="0"/>
        <w:autoSpaceDN w:val="0"/>
        <w:spacing w:before="220" w:after="0" w:line="260" w:lineRule="atLeast"/>
        <w:ind w:left="160" w:right="0"/>
        <w:jc w:val="both"/>
        <w:textAlignment w:val="auto"/>
        <w:rPr>
          <w:sz w:val="18"/>
        </w:rPr>
      </w:pPr>
      <w:r>
        <w:rPr>
          <w:rFonts w:ascii="宋体" w:hAnsi="宋体" w:eastAsia="宋体" w:cs="宋体"/>
          <w:b w:val="0"/>
          <w:i w:val="0"/>
          <w:color w:val="000000"/>
          <w:sz w:val="18"/>
        </w:rPr>
        <w:t>34.下列各项中，属于认股权证基本要素的有 ()。</w:t>
      </w:r>
    </w:p>
    <w:p w14:paraId="280FDB2B">
      <w:pPr>
        <w:wordWrap/>
        <w:autoSpaceDE w:val="0"/>
        <w:autoSpaceDN w:val="0"/>
        <w:spacing w:before="180" w:after="0" w:line="280" w:lineRule="atLeast"/>
        <w:ind w:left="700" w:right="0"/>
        <w:jc w:val="both"/>
        <w:textAlignment w:val="auto"/>
        <w:rPr>
          <w:sz w:val="24"/>
        </w:rPr>
      </w:pPr>
      <w:r>
        <w:rPr>
          <w:rFonts w:ascii="宋体" w:hAnsi="宋体" w:eastAsia="宋体" w:cs="宋体"/>
          <w:b w:val="0"/>
          <w:i w:val="0"/>
          <w:color w:val="000000"/>
          <w:sz w:val="18"/>
        </w:rPr>
        <w:t>A. 认购数量</w:t>
      </w:r>
      <w:r>
        <w:rPr>
          <w:rFonts w:ascii="宋体" w:hAnsi="宋体" w:eastAsia="宋体" w:cs="宋体"/>
          <w:sz w:val="24"/>
        </w:rPr>
        <w:t xml:space="preserve">       </w:t>
      </w:r>
      <w:r>
        <w:rPr>
          <w:rFonts w:ascii="宋体" w:hAnsi="宋体" w:eastAsia="宋体" w:cs="宋体"/>
          <w:b w:val="0"/>
          <w:i w:val="0"/>
          <w:color w:val="000000"/>
          <w:sz w:val="18"/>
        </w:rPr>
        <w:t>B. 赎回条款</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8"/>
        </w:rPr>
        <w:t>C. 认购期限</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8"/>
        </w:rPr>
        <w:t>D. 认购价格</w:t>
      </w:r>
    </w:p>
    <w:p w14:paraId="561D3DAD">
      <w:pPr>
        <w:wordWrap/>
        <w:autoSpaceDE w:val="0"/>
        <w:autoSpaceDN w:val="0"/>
        <w:spacing w:before="220" w:after="0" w:line="260" w:lineRule="atLeast"/>
        <w:ind w:left="700" w:right="0"/>
        <w:jc w:val="both"/>
        <w:textAlignment w:val="auto"/>
        <w:rPr>
          <w:sz w:val="18"/>
        </w:rPr>
      </w:pPr>
      <w:r>
        <w:rPr>
          <w:rFonts w:ascii="宋体" w:hAnsi="宋体" w:eastAsia="宋体" w:cs="宋体"/>
          <w:b w:val="0"/>
          <w:i w:val="0"/>
          <w:color w:val="000000"/>
          <w:sz w:val="18"/>
        </w:rPr>
        <w:t>[答案]ABCD</w:t>
      </w:r>
    </w:p>
    <w:p w14:paraId="47823A0D">
      <w:pPr>
        <w:wordWrap/>
        <w:autoSpaceDE w:val="0"/>
        <w:autoSpaceDN w:val="0"/>
        <w:spacing w:before="180" w:after="0" w:line="280" w:lineRule="atLeast"/>
        <w:ind w:left="700" w:right="0"/>
        <w:jc w:val="both"/>
        <w:textAlignment w:val="auto"/>
        <w:rPr>
          <w:sz w:val="18"/>
        </w:rPr>
      </w:pPr>
      <w:r>
        <w:rPr>
          <w:rFonts w:ascii="宋体" w:hAnsi="宋体" w:eastAsia="宋体" w:cs="宋体"/>
          <w:b w:val="0"/>
          <w:i w:val="0"/>
          <w:color w:val="000000"/>
          <w:sz w:val="18"/>
        </w:rPr>
        <w:t>[解析]认股权证的基本要素包括：认购数量、认购价格、认购期限和赎回条款。(教材P94?95)</w:t>
      </w:r>
    </w:p>
    <w:p w14:paraId="50355D69">
      <w:pPr>
        <w:wordWrap/>
        <w:autoSpaceDE w:val="0"/>
        <w:autoSpaceDN w:val="0"/>
        <w:spacing w:before="220" w:after="0" w:line="260" w:lineRule="atLeast"/>
        <w:ind w:left="160" w:right="0"/>
        <w:jc w:val="both"/>
        <w:textAlignment w:val="auto"/>
        <w:rPr>
          <w:sz w:val="18"/>
        </w:rPr>
      </w:pPr>
      <w:r>
        <w:rPr>
          <w:rFonts w:ascii="宋体" w:hAnsi="宋体" w:eastAsia="宋体" w:cs="宋体"/>
          <w:b w:val="0"/>
          <w:i w:val="0"/>
          <w:color w:val="000000"/>
          <w:sz w:val="18"/>
        </w:rPr>
        <w:t>35.下列项目中，可导致投资风险产生的原因有( )。</w:t>
      </w:r>
    </w:p>
    <w:p w14:paraId="35EA05EE">
      <w:pPr>
        <w:wordWrap/>
        <w:autoSpaceDE w:val="0"/>
        <w:autoSpaceDN w:val="0"/>
        <w:spacing w:before="200" w:after="0" w:line="260" w:lineRule="atLeast"/>
        <w:ind w:left="700" w:right="0"/>
        <w:jc w:val="both"/>
        <w:textAlignment w:val="auto"/>
        <w:rPr>
          <w:sz w:val="24"/>
        </w:rPr>
      </w:pPr>
      <w:r>
        <w:rPr>
          <w:rFonts w:ascii="宋体" w:hAnsi="宋体" w:eastAsia="宋体" w:cs="宋体"/>
          <w:b w:val="0"/>
          <w:i w:val="0"/>
          <w:color w:val="000000"/>
          <w:sz w:val="18"/>
        </w:rPr>
        <w:t>A. 投资成本的不确定性</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8"/>
        </w:rPr>
        <w:t>B. 投资收益的不确定性</w:t>
      </w:r>
    </w:p>
    <w:p w14:paraId="197BEE98">
      <w:pPr>
        <w:wordWrap/>
        <w:autoSpaceDE w:val="0"/>
        <w:autoSpaceDN w:val="0"/>
        <w:spacing w:before="200" w:after="0" w:line="260" w:lineRule="atLeast"/>
        <w:ind w:left="700" w:right="0"/>
        <w:jc w:val="both"/>
        <w:textAlignment w:val="auto"/>
        <w:rPr>
          <w:sz w:val="24"/>
        </w:rPr>
      </w:pPr>
      <w:r>
        <w:rPr>
          <w:rFonts w:ascii="宋体" w:hAnsi="宋体" w:eastAsia="宋体" w:cs="宋体"/>
          <w:b w:val="0"/>
          <w:i w:val="0"/>
          <w:color w:val="000000"/>
          <w:sz w:val="18"/>
        </w:rPr>
        <w:t>C. 投资决策的失误</w:t>
      </w:r>
      <w:r>
        <w:rPr>
          <w:rFonts w:ascii="宋体" w:hAnsi="宋体" w:eastAsia="宋体" w:cs="宋体"/>
          <w:sz w:val="24"/>
        </w:rPr>
        <w:t xml:space="preserve">                  </w:t>
      </w:r>
      <w:r>
        <w:rPr>
          <w:rFonts w:ascii="宋体" w:hAnsi="宋体" w:eastAsia="宋体" w:cs="宋体"/>
          <w:sz w:val="6"/>
        </w:rPr>
        <w:t xml:space="preserve"> </w:t>
      </w:r>
      <w:r>
        <w:rPr>
          <w:rFonts w:ascii="宋体" w:hAnsi="宋体" w:eastAsia="宋体" w:cs="宋体"/>
          <w:b w:val="0"/>
          <w:i w:val="0"/>
          <w:color w:val="000000"/>
          <w:sz w:val="18"/>
        </w:rPr>
        <w:t>D. 自然灾害</w:t>
      </w:r>
    </w:p>
    <w:p w14:paraId="5B71BDA7">
      <w:pPr>
        <w:wordWrap/>
        <w:autoSpaceDE w:val="0"/>
        <w:autoSpaceDN w:val="0"/>
        <w:spacing w:before="200" w:after="0" w:line="280" w:lineRule="atLeast"/>
        <w:ind w:left="700" w:right="0"/>
        <w:jc w:val="both"/>
        <w:textAlignment w:val="auto"/>
        <w:rPr>
          <w:sz w:val="18"/>
        </w:rPr>
      </w:pPr>
      <w:r>
        <w:rPr>
          <w:rFonts w:ascii="宋体" w:hAnsi="宋体" w:eastAsia="宋体" w:cs="宋体"/>
          <w:b w:val="0"/>
          <w:i w:val="0"/>
          <w:color w:val="000000"/>
          <w:sz w:val="18"/>
        </w:rPr>
        <w:t>[答案]ABCD</w:t>
      </w:r>
    </w:p>
    <w:p w14:paraId="0403EA85">
      <w:pPr>
        <w:wordWrap/>
        <w:autoSpaceDE w:val="0"/>
        <w:autoSpaceDN w:val="0"/>
        <w:spacing w:before="20" w:after="0" w:line="440" w:lineRule="atLeast"/>
        <w:ind w:left="700" w:right="460"/>
        <w:jc w:val="both"/>
        <w:textAlignment w:val="auto"/>
        <w:rPr>
          <w:sz w:val="18"/>
        </w:rPr>
      </w:pPr>
      <w:r>
        <w:rPr>
          <w:rFonts w:ascii="宋体" w:hAnsi="宋体" w:eastAsia="宋体" w:cs="宋体"/>
          <w:b w:val="0"/>
          <w:i w:val="0"/>
          <w:color w:val="000000"/>
          <w:sz w:val="18"/>
        </w:rPr>
        <w:t>[解析]导致投资风险产生的原因包括：投资成本的不确定性；投资收益的不确定性；因金融市场变化所导致的购买力风险和利率风险； 政治风险和自然灾害； 投资决策失误等。(大纲P52)</w:t>
      </w:r>
    </w:p>
    <w:p w14:paraId="6115666A">
      <w:pPr>
        <w:wordWrap/>
        <w:autoSpaceDE w:val="0"/>
        <w:autoSpaceDN w:val="0"/>
        <w:spacing w:before="220" w:after="0" w:line="240" w:lineRule="atLeast"/>
        <w:ind w:left="4420" w:right="0"/>
        <w:jc w:val="both"/>
        <w:textAlignment w:val="auto"/>
        <w:rPr>
          <w:sz w:val="14"/>
        </w:rPr>
      </w:pPr>
      <w:r>
        <w:rPr>
          <w:rFonts w:ascii="宋体" w:hAnsi="宋体" w:eastAsia="宋体" w:cs="宋体"/>
          <w:b w:val="0"/>
          <w:i w:val="0"/>
          <w:color w:val="000000"/>
          <w:sz w:val="14"/>
        </w:rPr>
        <w:t>三、判断题</w:t>
      </w:r>
    </w:p>
    <w:p w14:paraId="4F4E21E4">
      <w:pPr>
        <w:wordWrap/>
        <w:autoSpaceDE w:val="0"/>
        <w:autoSpaceDN w:val="0"/>
        <w:spacing w:before="120" w:after="0" w:line="400" w:lineRule="atLeast"/>
        <w:ind w:left="160" w:right="460"/>
        <w:jc w:val="both"/>
        <w:textAlignment w:val="auto"/>
        <w:rPr>
          <w:sz w:val="18"/>
        </w:rPr>
      </w:pPr>
      <w:r>
        <w:rPr>
          <w:rFonts w:ascii="宋体" w:hAnsi="宋体" w:eastAsia="宋体" w:cs="宋体"/>
          <w:b w:val="0"/>
          <w:i w:val="0"/>
          <w:color w:val="000000"/>
          <w:sz w:val="18"/>
        </w:rPr>
        <w:t>81.市场风险是指市场收益率整体变化所引起的市场上所有资产的收益率的变动性，它是影响所有资产的风险，因而不能被分散掉。()</w:t>
      </w:r>
    </w:p>
    <w:p w14:paraId="7016FFD3">
      <w:pPr>
        <w:wordWrap/>
        <w:autoSpaceDE w:val="0"/>
        <w:autoSpaceDN w:val="0"/>
        <w:spacing w:before="200" w:after="0" w:line="260" w:lineRule="atLeast"/>
        <w:ind w:left="700" w:right="0"/>
        <w:jc w:val="both"/>
        <w:textAlignment w:val="auto"/>
        <w:rPr>
          <w:sz w:val="18"/>
        </w:rPr>
      </w:pPr>
      <w:r>
        <w:rPr>
          <w:rFonts w:ascii="宋体" w:hAnsi="宋体" w:eastAsia="宋体" w:cs="宋体"/>
          <w:b w:val="0"/>
          <w:i w:val="0"/>
          <w:color w:val="000000"/>
          <w:sz w:val="18"/>
        </w:rPr>
        <w:t>[答案]✔</w:t>
      </w:r>
    </w:p>
    <w:p w14:paraId="73A9B18A">
      <w:pPr>
        <w:wordWrap/>
        <w:autoSpaceDE w:val="0"/>
        <w:autoSpaceDN w:val="0"/>
        <w:spacing w:before="220" w:after="0" w:line="260" w:lineRule="atLeast"/>
        <w:ind w:left="700" w:right="0"/>
        <w:jc w:val="both"/>
        <w:textAlignment w:val="auto"/>
        <w:rPr>
          <w:sz w:val="18"/>
        </w:rPr>
      </w:pPr>
      <w:r>
        <w:rPr>
          <w:rFonts w:ascii="宋体" w:hAnsi="宋体" w:eastAsia="宋体" w:cs="宋体"/>
          <w:b w:val="0"/>
          <w:i w:val="0"/>
          <w:color w:val="000000"/>
          <w:sz w:val="18"/>
        </w:rPr>
        <w:t>[解析]市场风险是指影响所有企业的风险，它不能通过投资组合分散掉。</w:t>
      </w:r>
    </w:p>
    <w:p w14:paraId="77EA08D6">
      <w:pPr>
        <w:wordWrap/>
        <w:autoSpaceDE w:val="0"/>
        <w:autoSpaceDN w:val="0"/>
        <w:spacing w:before="60" w:after="0" w:line="420" w:lineRule="atLeast"/>
        <w:ind w:left="160" w:right="480"/>
        <w:jc w:val="both"/>
        <w:textAlignment w:val="auto"/>
        <w:rPr>
          <w:sz w:val="18"/>
        </w:rPr>
      </w:pPr>
      <w:r>
        <w:rPr>
          <w:rFonts w:ascii="宋体" w:hAnsi="宋体" w:eastAsia="宋体" w:cs="宋体"/>
          <w:b w:val="0"/>
          <w:i w:val="0"/>
          <w:color w:val="000000"/>
          <w:sz w:val="18"/>
        </w:rPr>
        <w:t>82.在应用差额投资内部收益率法对固定资产更新改造投资项目进行决策时，如果差额内部收益率小于行业基准折现率或资金成本率，就不应当进行更新改造。()</w:t>
      </w:r>
    </w:p>
    <w:p w14:paraId="0C5CCD7C">
      <w:pPr>
        <w:wordWrap/>
        <w:autoSpaceDE w:val="0"/>
        <w:autoSpaceDN w:val="0"/>
        <w:spacing w:before="220" w:after="0" w:line="260" w:lineRule="atLeast"/>
        <w:ind w:left="700" w:right="0"/>
        <w:jc w:val="both"/>
        <w:textAlignment w:val="auto"/>
        <w:rPr>
          <w:sz w:val="18"/>
        </w:rPr>
      </w:pPr>
      <w:r>
        <w:rPr>
          <w:rFonts w:ascii="宋体" w:hAnsi="宋体" w:eastAsia="宋体" w:cs="宋体"/>
          <w:b w:val="0"/>
          <w:i w:val="0"/>
          <w:color w:val="000000"/>
          <w:sz w:val="18"/>
        </w:rPr>
        <w:t>[答案]✔</w:t>
      </w:r>
    </w:p>
    <w:p w14:paraId="20245A7D">
      <w:pPr>
        <w:wordWrap/>
        <w:autoSpaceDE w:val="0"/>
        <w:autoSpaceDN w:val="0"/>
        <w:spacing w:before="220" w:after="0" w:line="260" w:lineRule="atLeast"/>
        <w:ind w:left="700" w:right="0"/>
        <w:jc w:val="both"/>
        <w:textAlignment w:val="auto"/>
        <w:rPr>
          <w:sz w:val="18"/>
        </w:rPr>
      </w:pPr>
      <w:r>
        <w:rPr>
          <w:rFonts w:ascii="宋体" w:hAnsi="宋体" w:eastAsia="宋体" w:cs="宋体"/>
          <w:b w:val="0"/>
          <w:i w:val="0"/>
          <w:color w:val="000000"/>
          <w:sz w:val="18"/>
        </w:rPr>
        <w:t>[解析]使用差额投资内部收益率法对固定资产更新改造投资项目进行决策时，当差额投资内部收益率</w:t>
      </w:r>
      <w:r>
        <w:br w:type="page"/>
      </w:r>
    </w:p>
    <w:p w14:paraId="4BACB096">
      <w:pPr>
        <w:wordWrap/>
        <w:autoSpaceDE w:val="0"/>
        <w:autoSpaceDN w:val="0"/>
        <w:spacing w:before="460" w:after="0" w:line="470" w:lineRule="atLeast"/>
        <w:ind w:left="1520" w:right="440"/>
        <w:jc w:val="both"/>
        <w:textAlignment w:val="auto"/>
        <w:rPr>
          <w:sz w:val="19"/>
        </w:rPr>
      </w:pPr>
      <w:r>
        <w:rPr>
          <w:rFonts w:ascii="宋体" w:hAnsi="宋体" w:eastAsia="宋体" w:cs="宋体"/>
          <w:b w:val="0"/>
          <w:i w:val="0"/>
          <w:color w:val="000000"/>
          <w:sz w:val="19"/>
        </w:rPr>
        <w:t>指标大于或等于基准折现率或设定的折现率时，应当进行更新改造； 反之，不应当进行更新改造。(教材P256)</w:t>
      </w:r>
    </w:p>
    <w:p w14:paraId="5D414835">
      <w:pPr>
        <w:wordWrap/>
        <w:autoSpaceDE w:val="0"/>
        <w:autoSpaceDN w:val="0"/>
        <w:spacing w:before="200" w:after="0" w:line="260" w:lineRule="atLeast"/>
        <w:ind w:left="180" w:right="0"/>
        <w:jc w:val="both"/>
        <w:textAlignment w:val="auto"/>
        <w:rPr>
          <w:sz w:val="19"/>
        </w:rPr>
      </w:pPr>
      <w:r>
        <w:rPr>
          <w:rFonts w:ascii="宋体" w:hAnsi="宋体" w:eastAsia="宋体" w:cs="宋体"/>
          <w:b w:val="0"/>
          <w:i w:val="0"/>
          <w:color w:val="000000"/>
          <w:sz w:val="19"/>
        </w:rPr>
        <w:t>83.投资基金的收益率是通过基金净资产的价值变化来衡量的。()</w:t>
      </w:r>
    </w:p>
    <w:p w14:paraId="3EED967A">
      <w:pPr>
        <w:wordWrap/>
        <w:autoSpaceDE w:val="0"/>
        <w:autoSpaceDN w:val="0"/>
        <w:spacing w:before="200" w:after="0" w:line="260" w:lineRule="atLeast"/>
        <w:ind w:left="700" w:right="0"/>
        <w:jc w:val="both"/>
        <w:textAlignment w:val="auto"/>
        <w:rPr>
          <w:sz w:val="19"/>
        </w:rPr>
      </w:pPr>
      <w:r>
        <w:rPr>
          <w:rFonts w:ascii="宋体" w:hAnsi="宋体" w:eastAsia="宋体" w:cs="宋体"/>
          <w:b w:val="0"/>
          <w:i w:val="0"/>
          <w:color w:val="000000"/>
          <w:sz w:val="19"/>
        </w:rPr>
        <w:t>[答案]✔</w:t>
      </w:r>
    </w:p>
    <w:p w14:paraId="739170B1">
      <w:pPr>
        <w:wordWrap/>
        <w:autoSpaceDE w:val="0"/>
        <w:autoSpaceDN w:val="0"/>
        <w:spacing w:before="20" w:after="0" w:line="460" w:lineRule="atLeast"/>
        <w:ind w:left="180" w:right="700" w:firstLine="520"/>
        <w:jc w:val="both"/>
        <w:textAlignment w:val="auto"/>
        <w:rPr>
          <w:sz w:val="19"/>
        </w:rPr>
      </w:pPr>
      <w:r>
        <w:rPr>
          <w:rFonts w:ascii="宋体" w:hAnsi="宋体" w:eastAsia="宋体" w:cs="宋体"/>
          <w:b w:val="0"/>
          <w:i w:val="0"/>
          <w:color w:val="000000"/>
          <w:sz w:val="19"/>
        </w:rPr>
        <w:t>[解析]基金收益率用以反映基金增值的情况，它通过基金净资产的价值变化来衡量。(教材P305)84.股票分割不仅有利于促进股票流通和交易，而且还助于公司并购政策的实施。()</w:t>
      </w:r>
    </w:p>
    <w:p w14:paraId="71B736B7">
      <w:pPr>
        <w:wordWrap/>
        <w:autoSpaceDE w:val="0"/>
        <w:autoSpaceDN w:val="0"/>
        <w:spacing w:before="200" w:after="0" w:line="260" w:lineRule="atLeast"/>
        <w:ind w:left="700" w:right="0"/>
        <w:jc w:val="both"/>
        <w:textAlignment w:val="auto"/>
        <w:rPr>
          <w:sz w:val="19"/>
        </w:rPr>
      </w:pPr>
      <w:r>
        <w:rPr>
          <w:rFonts w:ascii="宋体" w:hAnsi="宋体" w:eastAsia="宋体" w:cs="宋体"/>
          <w:b w:val="0"/>
          <w:i w:val="0"/>
          <w:color w:val="000000"/>
          <w:sz w:val="19"/>
        </w:rPr>
        <w:t>[答案]✔</w:t>
      </w:r>
    </w:p>
    <w:p w14:paraId="6AAEC0AD">
      <w:pPr>
        <w:wordWrap/>
        <w:autoSpaceDE w:val="0"/>
        <w:autoSpaceDN w:val="0"/>
        <w:spacing w:before="20" w:after="0" w:line="450" w:lineRule="atLeast"/>
        <w:ind w:left="700" w:right="480"/>
        <w:jc w:val="both"/>
        <w:textAlignment w:val="auto"/>
        <w:rPr>
          <w:sz w:val="19"/>
        </w:rPr>
      </w:pPr>
      <w:r>
        <w:rPr>
          <w:rFonts w:ascii="宋体" w:hAnsi="宋体" w:eastAsia="宋体" w:cs="宋体"/>
          <w:b w:val="0"/>
          <w:i w:val="0"/>
          <w:color w:val="000000"/>
          <w:sz w:val="19"/>
        </w:rPr>
        <w:t>[解析]股票分割的作用包括：降低股票每股市价，促进股票流通和交易；有助于公司并购政策的实施，增加对被并购方的吸引力。(教材P376)</w:t>
      </w:r>
    </w:p>
    <w:p w14:paraId="764B2C3B">
      <w:pPr>
        <w:wordWrap/>
        <w:autoSpaceDE w:val="0"/>
        <w:autoSpaceDN w:val="0"/>
        <w:spacing w:before="20" w:after="0" w:line="430" w:lineRule="atLeast"/>
        <w:ind w:left="180" w:right="440"/>
        <w:jc w:val="both"/>
        <w:textAlignment w:val="auto"/>
        <w:rPr>
          <w:sz w:val="19"/>
        </w:rPr>
      </w:pPr>
      <w:r>
        <w:rPr>
          <w:rFonts w:ascii="宋体" w:hAnsi="宋体" w:eastAsia="宋体" w:cs="宋体"/>
          <w:b w:val="0"/>
          <w:i w:val="0"/>
          <w:color w:val="000000"/>
          <w:sz w:val="19"/>
        </w:rPr>
        <w:t>85.特种决策预算包括经营决策预算和投资决策预算，一般情况下，特种决策预算的数据要纳入日常业务预算和现金预算。()</w:t>
      </w:r>
    </w:p>
    <w:p w14:paraId="18C0AD46">
      <w:pPr>
        <w:wordWrap/>
        <w:autoSpaceDE w:val="0"/>
        <w:autoSpaceDN w:val="0"/>
        <w:spacing w:before="240" w:after="0" w:line="260" w:lineRule="atLeast"/>
        <w:ind w:left="700" w:right="0"/>
        <w:jc w:val="both"/>
        <w:textAlignment w:val="auto"/>
        <w:rPr>
          <w:sz w:val="19"/>
        </w:rPr>
      </w:pPr>
      <w:r>
        <w:rPr>
          <w:rFonts w:ascii="宋体" w:hAnsi="宋体" w:eastAsia="宋体" w:cs="宋体"/>
          <w:b w:val="0"/>
          <w:i w:val="0"/>
          <w:color w:val="000000"/>
          <w:sz w:val="19"/>
        </w:rPr>
        <w:t>[答案]×</w:t>
      </w:r>
    </w:p>
    <w:p w14:paraId="522DEA47">
      <w:pPr>
        <w:wordWrap/>
        <w:autoSpaceDE w:val="0"/>
        <w:autoSpaceDN w:val="0"/>
        <w:spacing w:before="60" w:after="0" w:line="433" w:lineRule="atLeast"/>
        <w:ind w:left="700" w:right="460"/>
        <w:jc w:val="both"/>
        <w:textAlignment w:val="auto"/>
        <w:rPr>
          <w:sz w:val="19"/>
        </w:rPr>
      </w:pPr>
      <w:r>
        <w:rPr>
          <w:rFonts w:ascii="宋体" w:hAnsi="宋体" w:eastAsia="宋体" w:cs="宋体"/>
          <w:b w:val="0"/>
          <w:i w:val="0"/>
          <w:color w:val="000000"/>
          <w:sz w:val="19"/>
        </w:rPr>
        <w:t>[解析]特种决策预算包括经营决策预算和投资决策预算，经营决策预算需要直接纳入日常业务预算体系，同时也将影响现金预算； 投资决策预算除个别项目外一般不纳入日常业务预算，但应计入与此有关的现金预算与预计资产负债表中。(教材P380、431)</w:t>
      </w:r>
    </w:p>
    <w:p w14:paraId="1016A384">
      <w:pPr>
        <w:wordWrap/>
        <w:autoSpaceDE w:val="0"/>
        <w:autoSpaceDN w:val="0"/>
        <w:spacing w:before="40" w:after="0" w:line="430" w:lineRule="atLeast"/>
        <w:ind w:left="180" w:right="440"/>
        <w:jc w:val="both"/>
        <w:textAlignment w:val="auto"/>
        <w:rPr>
          <w:sz w:val="19"/>
        </w:rPr>
      </w:pPr>
      <w:r>
        <w:rPr>
          <w:rFonts w:ascii="宋体" w:hAnsi="宋体" w:eastAsia="宋体" w:cs="宋体"/>
          <w:b w:val="0"/>
          <w:i w:val="0"/>
          <w:color w:val="000000"/>
          <w:sz w:val="19"/>
        </w:rPr>
        <w:t>86为了划定各责任中心的成本责任，使不应承担损失的责任中心在经济上得到合理补偿，必须进行责任转账。()</w:t>
      </w:r>
    </w:p>
    <w:p w14:paraId="0ED5D99A">
      <w:pPr>
        <w:wordWrap/>
        <w:autoSpaceDE w:val="0"/>
        <w:autoSpaceDN w:val="0"/>
        <w:spacing w:before="220" w:after="0" w:line="260" w:lineRule="atLeast"/>
        <w:ind w:left="700" w:right="0"/>
        <w:jc w:val="both"/>
        <w:textAlignment w:val="auto"/>
        <w:rPr>
          <w:sz w:val="19"/>
        </w:rPr>
      </w:pPr>
      <w:r>
        <w:rPr>
          <w:rFonts w:ascii="宋体" w:hAnsi="宋体" w:eastAsia="宋体" w:cs="宋体"/>
          <w:b w:val="0"/>
          <w:i w:val="0"/>
          <w:color w:val="000000"/>
          <w:sz w:val="19"/>
        </w:rPr>
        <w:t>[答案]✔</w:t>
      </w:r>
    </w:p>
    <w:p w14:paraId="146578CF">
      <w:pPr>
        <w:wordWrap/>
        <w:autoSpaceDE w:val="0"/>
        <w:autoSpaceDN w:val="0"/>
        <w:spacing w:before="60" w:after="0" w:line="420" w:lineRule="atLeast"/>
        <w:ind w:left="700" w:right="480"/>
        <w:jc w:val="both"/>
        <w:textAlignment w:val="auto"/>
        <w:rPr>
          <w:sz w:val="19"/>
        </w:rPr>
      </w:pPr>
      <w:r>
        <w:rPr>
          <w:rFonts w:ascii="宋体" w:hAnsi="宋体" w:eastAsia="宋体" w:cs="宋体"/>
          <w:b w:val="0"/>
          <w:i w:val="0"/>
          <w:color w:val="000000"/>
          <w:sz w:val="19"/>
        </w:rPr>
        <w:t>[解析]责任转账的目的是为了划清各责任中心的成本责任，使不应承担损失的责任中心在经济上得到合理补偿。(教材P486)</w:t>
      </w:r>
    </w:p>
    <w:p w14:paraId="1EF347E0">
      <w:pPr>
        <w:wordWrap/>
        <w:autoSpaceDE w:val="0"/>
        <w:autoSpaceDN w:val="0"/>
        <w:spacing w:before="240" w:after="0" w:line="260" w:lineRule="atLeast"/>
        <w:ind w:left="180" w:right="0"/>
        <w:jc w:val="both"/>
        <w:textAlignment w:val="auto"/>
        <w:rPr>
          <w:sz w:val="19"/>
        </w:rPr>
      </w:pPr>
      <w:r>
        <w:rPr>
          <w:rFonts w:ascii="宋体" w:hAnsi="宋体" w:eastAsia="宋体" w:cs="宋体"/>
          <w:b w:val="0"/>
          <w:i w:val="0"/>
          <w:color w:val="000000"/>
          <w:sz w:val="19"/>
        </w:rPr>
        <w:t>87.市盈率是评价上市公司盈利能力的指标，它反映投资者愿意对公司每股净利润支付的价格。()</w:t>
      </w:r>
    </w:p>
    <w:p w14:paraId="4FD5D3F2">
      <w:pPr>
        <w:wordWrap/>
        <w:autoSpaceDE w:val="0"/>
        <w:autoSpaceDN w:val="0"/>
        <w:spacing w:before="200" w:after="0" w:line="260" w:lineRule="atLeast"/>
        <w:ind w:left="700" w:right="0"/>
        <w:jc w:val="both"/>
        <w:textAlignment w:val="auto"/>
        <w:rPr>
          <w:sz w:val="19"/>
        </w:rPr>
      </w:pPr>
      <w:r>
        <w:rPr>
          <w:rFonts w:ascii="宋体" w:hAnsi="宋体" w:eastAsia="宋体" w:cs="宋体"/>
          <w:b w:val="0"/>
          <w:i w:val="0"/>
          <w:color w:val="000000"/>
          <w:sz w:val="19"/>
        </w:rPr>
        <w:t>[答案]✔</w:t>
      </w:r>
    </w:p>
    <w:p w14:paraId="66FFC9ED">
      <w:pPr>
        <w:wordWrap/>
        <w:autoSpaceDE w:val="0"/>
        <w:autoSpaceDN w:val="0"/>
        <w:spacing w:before="60" w:after="0" w:line="420" w:lineRule="atLeast"/>
        <w:ind w:left="700" w:right="460"/>
        <w:jc w:val="both"/>
        <w:textAlignment w:val="auto"/>
        <w:rPr>
          <w:sz w:val="19"/>
        </w:rPr>
      </w:pPr>
      <w:r>
        <w:rPr>
          <w:rFonts w:ascii="宋体" w:hAnsi="宋体" w:eastAsia="宋体" w:cs="宋体"/>
          <w:b w:val="0"/>
          <w:i w:val="0"/>
          <w:color w:val="000000"/>
          <w:sz w:val="19"/>
        </w:rPr>
        <w:t>[解析]市盈率是上市公司普通股每股市价相当于每股收益的倍数，它是评价上市公司盈利能力的指标，反映投资者愿意对公司每股净利润支付的价格。(教材P523)</w:t>
      </w:r>
    </w:p>
    <w:p w14:paraId="1AEC14C1">
      <w:pPr>
        <w:wordWrap/>
        <w:autoSpaceDE w:val="0"/>
        <w:autoSpaceDN w:val="0"/>
        <w:spacing w:before="0" w:after="0" w:line="460" w:lineRule="atLeast"/>
        <w:ind w:left="180" w:right="440"/>
        <w:jc w:val="both"/>
        <w:textAlignment w:val="auto"/>
        <w:rPr>
          <w:sz w:val="19"/>
        </w:rPr>
      </w:pPr>
      <w:r>
        <w:rPr>
          <w:rFonts w:ascii="宋体" w:hAnsi="宋体" w:eastAsia="宋体" w:cs="宋体"/>
          <w:b w:val="0"/>
          <w:i w:val="0"/>
          <w:color w:val="000000"/>
          <w:sz w:val="19"/>
        </w:rPr>
        <w:t>88.对可能给企业带来灾难性损失的项目，企业应主动采取合资、联营和联合开发等措施，以规避风险。()[答案]×</w:t>
      </w:r>
    </w:p>
    <w:p w14:paraId="7CC52321">
      <w:pPr>
        <w:wordWrap/>
        <w:autoSpaceDE w:val="0"/>
        <w:autoSpaceDN w:val="0"/>
        <w:spacing w:before="60" w:after="0" w:line="433" w:lineRule="atLeast"/>
        <w:ind w:left="700" w:right="480"/>
        <w:jc w:val="both"/>
        <w:textAlignment w:val="auto"/>
        <w:rPr>
          <w:sz w:val="19"/>
        </w:rPr>
      </w:pPr>
      <w:r>
        <w:rPr>
          <w:rFonts w:ascii="宋体" w:hAnsi="宋体" w:eastAsia="宋体" w:cs="宋体"/>
          <w:b w:val="0"/>
          <w:i w:val="0"/>
          <w:color w:val="000000"/>
          <w:sz w:val="19"/>
        </w:rPr>
        <w:t>[解析]规避风险的例子包括：拒绝与不守信用的厂商业务往来； 放弃可能明显导致亏损的投资项目；新产品在试制阶段发现诸多问题而果断停止试制。合资、联营和联合开发等属于转移风险的措施。(教材P54-55)</w:t>
      </w:r>
    </w:p>
    <w:p w14:paraId="39E699BB">
      <w:pPr>
        <w:wordWrap/>
        <w:autoSpaceDE w:val="0"/>
        <w:autoSpaceDN w:val="0"/>
        <w:spacing w:before="220" w:after="0" w:line="260" w:lineRule="atLeast"/>
        <w:ind w:left="180" w:right="0"/>
        <w:jc w:val="both"/>
        <w:textAlignment w:val="auto"/>
        <w:rPr>
          <w:sz w:val="19"/>
        </w:rPr>
      </w:pPr>
      <w:r>
        <w:rPr>
          <w:rFonts w:ascii="宋体" w:hAnsi="宋体" w:eastAsia="宋体" w:cs="宋体"/>
          <w:b w:val="0"/>
          <w:i w:val="0"/>
          <w:color w:val="000000"/>
          <w:sz w:val="19"/>
        </w:rPr>
        <w:t>89.杠杆收购筹资会使筹资企业的财务杠杆比率有所降低。()</w:t>
      </w:r>
    </w:p>
    <w:p w14:paraId="57837B82">
      <w:pPr>
        <w:wordWrap/>
        <w:autoSpaceDE w:val="0"/>
        <w:autoSpaceDN w:val="0"/>
        <w:spacing w:before="200" w:after="0" w:line="260" w:lineRule="atLeast"/>
        <w:ind w:left="7020" w:right="0"/>
        <w:jc w:val="both"/>
        <w:textAlignment w:val="auto"/>
        <w:rPr>
          <w:sz w:val="19"/>
        </w:rPr>
      </w:pPr>
      <w:r>
        <w:rPr>
          <w:rFonts w:ascii="宋体" w:hAnsi="宋体" w:eastAsia="宋体" w:cs="宋体"/>
          <w:b w:val="0"/>
          <w:i w:val="0"/>
          <w:color w:val="000000"/>
          <w:sz w:val="19"/>
        </w:rPr>
        <w:t>凡师傅旗舰店fanshifu.tmall.com</w:t>
      </w:r>
      <w:r>
        <w:br w:type="page"/>
      </w:r>
    </w:p>
    <w:p w14:paraId="4A79CD07">
      <w:pPr>
        <w:wordWrap/>
        <w:autoSpaceDE w:val="0"/>
        <w:autoSpaceDN w:val="0"/>
        <w:spacing w:before="700" w:after="0" w:line="260" w:lineRule="atLeast"/>
        <w:ind w:left="760" w:right="0"/>
        <w:jc w:val="both"/>
        <w:textAlignment w:val="auto"/>
        <w:rPr>
          <w:sz w:val="18"/>
        </w:rPr>
      </w:pPr>
      <w:r>
        <w:rPr>
          <w:rFonts w:ascii="宋体" w:hAnsi="宋体" w:eastAsia="宋体" w:cs="宋体"/>
          <w:b w:val="0"/>
          <w:i w:val="0"/>
          <w:color w:val="000000"/>
          <w:sz w:val="18"/>
        </w:rPr>
        <w:t>[答案]×</w:t>
      </w:r>
    </w:p>
    <w:p w14:paraId="3A513886">
      <w:pPr>
        <w:wordWrap/>
        <w:autoSpaceDE w:val="0"/>
        <w:autoSpaceDN w:val="0"/>
        <w:spacing w:before="200" w:after="0" w:line="260" w:lineRule="atLeast"/>
        <w:ind w:left="760" w:right="0"/>
        <w:jc w:val="both"/>
        <w:textAlignment w:val="auto"/>
        <w:rPr>
          <w:sz w:val="18"/>
        </w:rPr>
      </w:pPr>
      <w:r>
        <w:rPr>
          <w:rFonts w:ascii="宋体" w:hAnsi="宋体" w:eastAsia="宋体" w:cs="宋体"/>
          <w:b w:val="0"/>
          <w:i w:val="0"/>
          <w:color w:val="000000"/>
          <w:sz w:val="18"/>
        </w:rPr>
        <w:t>[解析]杠杆收购筹资的一个特点是财务杠杆比率高。(教材P123)</w:t>
      </w:r>
    </w:p>
    <w:p w14:paraId="435DB427">
      <w:pPr>
        <w:wordWrap/>
        <w:autoSpaceDE w:val="0"/>
        <w:autoSpaceDN w:val="0"/>
        <w:spacing w:before="20" w:after="0" w:line="440" w:lineRule="atLeast"/>
        <w:ind w:left="240" w:right="400"/>
        <w:jc w:val="both"/>
        <w:textAlignment w:val="auto"/>
        <w:rPr>
          <w:sz w:val="18"/>
        </w:rPr>
      </w:pPr>
      <w:r>
        <w:rPr>
          <w:rFonts w:ascii="宋体" w:hAnsi="宋体" w:eastAsia="宋体" w:cs="宋体"/>
          <w:b w:val="0"/>
          <w:i w:val="0"/>
          <w:color w:val="000000"/>
          <w:sz w:val="18"/>
        </w:rPr>
        <w:t>90.从成熟的证券市场来看，企业筹资的优序模式首先是内部筹资，其次是增发股票，发行债券和可转换债券，最后是银行借款。()</w:t>
      </w:r>
    </w:p>
    <w:p w14:paraId="3A157D2B">
      <w:pPr>
        <w:wordWrap/>
        <w:autoSpaceDE w:val="0"/>
        <w:autoSpaceDN w:val="0"/>
        <w:spacing w:before="220" w:after="0" w:line="260" w:lineRule="atLeast"/>
        <w:ind w:left="760" w:right="0"/>
        <w:jc w:val="both"/>
        <w:textAlignment w:val="auto"/>
        <w:rPr>
          <w:sz w:val="18"/>
        </w:rPr>
      </w:pPr>
      <w:r>
        <w:rPr>
          <w:rFonts w:ascii="宋体" w:hAnsi="宋体" w:eastAsia="宋体" w:cs="宋体"/>
          <w:b w:val="0"/>
          <w:i w:val="0"/>
          <w:color w:val="000000"/>
          <w:sz w:val="18"/>
        </w:rPr>
        <w:t>[答案]×</w:t>
      </w:r>
    </w:p>
    <w:p w14:paraId="2E0A8BAE">
      <w:pPr>
        <w:wordWrap/>
        <w:autoSpaceDE w:val="0"/>
        <w:autoSpaceDN w:val="0"/>
        <w:spacing w:before="40" w:after="0" w:line="430" w:lineRule="atLeast"/>
        <w:ind w:left="760" w:right="380"/>
        <w:jc w:val="both"/>
        <w:textAlignment w:val="auto"/>
        <w:rPr>
          <w:sz w:val="18"/>
        </w:rPr>
      </w:pPr>
      <w:r>
        <w:rPr>
          <w:rFonts w:ascii="宋体" w:hAnsi="宋体" w:eastAsia="宋体" w:cs="宋体"/>
          <w:b w:val="0"/>
          <w:i w:val="0"/>
          <w:color w:val="000000"/>
          <w:sz w:val="18"/>
        </w:rPr>
        <w:t>[解析]从成熟的证券市场来看，企业筹资的优序模式首先是内部筹资，其次是借款、发行债券、可转换债券，最后是发行新股筹资。(教材P162)</w:t>
      </w:r>
    </w:p>
    <w:p w14:paraId="0647EFE0">
      <w:pPr>
        <w:wordWrap/>
        <w:autoSpaceDE w:val="0"/>
        <w:autoSpaceDN w:val="0"/>
        <w:spacing w:before="220" w:after="0" w:line="260" w:lineRule="atLeast"/>
        <w:ind w:left="4440" w:right="0"/>
        <w:jc w:val="both"/>
        <w:textAlignment w:val="auto"/>
        <w:rPr>
          <w:sz w:val="16"/>
        </w:rPr>
      </w:pPr>
      <w:r>
        <w:rPr>
          <w:rFonts w:ascii="宋体" w:hAnsi="宋体" w:eastAsia="宋体" w:cs="宋体"/>
          <w:b/>
          <w:i w:val="0"/>
          <w:color w:val="000000"/>
          <w:sz w:val="16"/>
        </w:rPr>
        <w:t>四、计算题</w:t>
      </w:r>
    </w:p>
    <w:p w14:paraId="34445DD1">
      <w:pPr>
        <w:wordWrap/>
        <w:autoSpaceDE w:val="0"/>
        <w:autoSpaceDN w:val="0"/>
        <w:spacing w:before="20" w:after="0" w:line="447" w:lineRule="atLeast"/>
        <w:ind w:left="200" w:right="520" w:firstLine="40"/>
        <w:jc w:val="both"/>
        <w:textAlignment w:val="auto"/>
        <w:rPr>
          <w:sz w:val="18"/>
        </w:rPr>
      </w:pPr>
      <w:r>
        <w:rPr>
          <w:rFonts w:ascii="宋体" w:hAnsi="宋体" w:eastAsia="宋体" w:cs="宋体"/>
          <w:b w:val="0"/>
          <w:i w:val="0"/>
          <w:color w:val="000000"/>
          <w:sz w:val="18"/>
        </w:rPr>
        <w:t>1.某企业拟采用融资租赁方式于 2006年1月1日从租赁公司租入一台设备，设备款为50000元，租期为5年，到期后设备归企业所有。双方商定，如果采取后付等额租金方式付款，则折现率为16%；如果采取先付等额租金方式付款，则折现率为14%。企业的资金成本率为10%。</w:t>
      </w:r>
    </w:p>
    <w:p w14:paraId="5C4FD62D">
      <w:pPr>
        <w:wordWrap/>
        <w:autoSpaceDE w:val="0"/>
        <w:autoSpaceDN w:val="0"/>
        <w:spacing w:before="220" w:after="0" w:line="260" w:lineRule="atLeast"/>
        <w:ind w:left="240" w:right="0"/>
        <w:jc w:val="both"/>
        <w:textAlignment w:val="auto"/>
        <w:rPr>
          <w:sz w:val="18"/>
        </w:rPr>
      </w:pPr>
      <w:r>
        <w:rPr>
          <w:rFonts w:ascii="宋体" w:hAnsi="宋体" w:eastAsia="宋体" w:cs="宋体"/>
          <w:b w:val="0"/>
          <w:i w:val="0"/>
          <w:color w:val="000000"/>
          <w:sz w:val="18"/>
        </w:rPr>
        <w:t>部分资金时间价值系数如下：</w:t>
      </w:r>
    </w:p>
    <w:p w14:paraId="37EDF73F">
      <w:pPr>
        <w:wordWrap/>
        <w:spacing w:before="0" w:after="0" w:line="180" w:lineRule="exact"/>
        <w:ind w:left="0" w:right="0"/>
        <w:textAlignment w:val="auto"/>
      </w:pPr>
    </w:p>
    <w:tbl>
      <w:tblPr>
        <w:tblStyle w:val="2"/>
        <w:tblW w:w="0" w:type="auto"/>
        <w:tblInd w:w="28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2140"/>
        <w:gridCol w:w="2160"/>
        <w:gridCol w:w="2180"/>
        <w:gridCol w:w="2080"/>
      </w:tblGrid>
      <w:tr w14:paraId="2AFCD33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20" w:hRule="atLeast"/>
        </w:trPr>
        <w:tc>
          <w:tcPr>
            <w:tcW w:w="2140" w:type="dxa"/>
            <w:vAlign w:val="center"/>
          </w:tcPr>
          <w:p w14:paraId="4ECEBE24">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t</w:t>
            </w:r>
          </w:p>
        </w:tc>
        <w:tc>
          <w:tcPr>
            <w:tcW w:w="2160" w:type="dxa"/>
            <w:vAlign w:val="center"/>
          </w:tcPr>
          <w:p w14:paraId="2D772C56">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10%</w:t>
            </w:r>
          </w:p>
        </w:tc>
        <w:tc>
          <w:tcPr>
            <w:tcW w:w="2180" w:type="dxa"/>
            <w:vAlign w:val="center"/>
          </w:tcPr>
          <w:p w14:paraId="29E0E3B2">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14%</w:t>
            </w:r>
          </w:p>
        </w:tc>
        <w:tc>
          <w:tcPr>
            <w:tcW w:w="2080" w:type="dxa"/>
            <w:vAlign w:val="center"/>
          </w:tcPr>
          <w:p w14:paraId="0B7036D4">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16%</w:t>
            </w:r>
          </w:p>
        </w:tc>
      </w:tr>
      <w:tr w14:paraId="6682305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60" w:hRule="atLeast"/>
        </w:trPr>
        <w:tc>
          <w:tcPr>
            <w:tcW w:w="2140" w:type="dxa"/>
            <w:vAlign w:val="center"/>
          </w:tcPr>
          <w:p w14:paraId="063C7E94">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(F/A, i, 4)</w:t>
            </w:r>
          </w:p>
        </w:tc>
        <w:tc>
          <w:tcPr>
            <w:tcW w:w="2160" w:type="dxa"/>
            <w:vAlign w:val="center"/>
          </w:tcPr>
          <w:p w14:paraId="73CF4B8C">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4.6410</w:t>
            </w:r>
          </w:p>
        </w:tc>
        <w:tc>
          <w:tcPr>
            <w:tcW w:w="2180" w:type="dxa"/>
            <w:vAlign w:val="center"/>
          </w:tcPr>
          <w:p w14:paraId="325D7A6B">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4.9211</w:t>
            </w:r>
          </w:p>
        </w:tc>
        <w:tc>
          <w:tcPr>
            <w:tcW w:w="2080" w:type="dxa"/>
            <w:vAlign w:val="center"/>
          </w:tcPr>
          <w:p w14:paraId="6C1E151E">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5.0665</w:t>
            </w:r>
          </w:p>
        </w:tc>
      </w:tr>
      <w:tr w14:paraId="6762333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60" w:hRule="atLeast"/>
        </w:trPr>
        <w:tc>
          <w:tcPr>
            <w:tcW w:w="2140" w:type="dxa"/>
            <w:vAlign w:val="center"/>
          </w:tcPr>
          <w:p w14:paraId="6BA37A3D">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(P/A, i, 4)</w:t>
            </w:r>
          </w:p>
        </w:tc>
        <w:tc>
          <w:tcPr>
            <w:tcW w:w="2160" w:type="dxa"/>
            <w:vAlign w:val="center"/>
          </w:tcPr>
          <w:p w14:paraId="5E2470D9">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3.1699</w:t>
            </w:r>
          </w:p>
        </w:tc>
        <w:tc>
          <w:tcPr>
            <w:tcW w:w="2180" w:type="dxa"/>
            <w:vAlign w:val="center"/>
          </w:tcPr>
          <w:p w14:paraId="29A95076">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2.9137</w:t>
            </w:r>
          </w:p>
        </w:tc>
        <w:tc>
          <w:tcPr>
            <w:tcW w:w="2080" w:type="dxa"/>
            <w:vAlign w:val="center"/>
          </w:tcPr>
          <w:p w14:paraId="68284EDC">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2.7982</w:t>
            </w:r>
          </w:p>
        </w:tc>
      </w:tr>
      <w:tr w14:paraId="66F18D8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60" w:hRule="atLeast"/>
        </w:trPr>
        <w:tc>
          <w:tcPr>
            <w:tcW w:w="2140" w:type="dxa"/>
            <w:vAlign w:val="center"/>
          </w:tcPr>
          <w:p w14:paraId="6700CC9F">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(F/A, i,5)</w:t>
            </w:r>
          </w:p>
        </w:tc>
        <w:tc>
          <w:tcPr>
            <w:tcW w:w="2160" w:type="dxa"/>
            <w:vAlign w:val="center"/>
          </w:tcPr>
          <w:p w14:paraId="1EDEDC66">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6.1051</w:t>
            </w:r>
          </w:p>
        </w:tc>
        <w:tc>
          <w:tcPr>
            <w:tcW w:w="2180" w:type="dxa"/>
            <w:vAlign w:val="center"/>
          </w:tcPr>
          <w:p w14:paraId="3C6FEA91">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6.6101</w:t>
            </w:r>
          </w:p>
        </w:tc>
        <w:tc>
          <w:tcPr>
            <w:tcW w:w="2080" w:type="dxa"/>
            <w:vAlign w:val="center"/>
          </w:tcPr>
          <w:p w14:paraId="0DE772BB">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6.8771</w:t>
            </w:r>
          </w:p>
        </w:tc>
      </w:tr>
      <w:tr w14:paraId="130B09A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60" w:hRule="atLeast"/>
        </w:trPr>
        <w:tc>
          <w:tcPr>
            <w:tcW w:w="2140" w:type="dxa"/>
            <w:vAlign w:val="center"/>
          </w:tcPr>
          <w:p w14:paraId="1AD1832E">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(P/A, i,5)</w:t>
            </w:r>
          </w:p>
        </w:tc>
        <w:tc>
          <w:tcPr>
            <w:tcW w:w="2160" w:type="dxa"/>
            <w:vAlign w:val="center"/>
          </w:tcPr>
          <w:p w14:paraId="713AEDDB">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3.7908</w:t>
            </w:r>
          </w:p>
        </w:tc>
        <w:tc>
          <w:tcPr>
            <w:tcW w:w="2180" w:type="dxa"/>
            <w:vAlign w:val="center"/>
          </w:tcPr>
          <w:p w14:paraId="1C7426E8">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3.4331</w:t>
            </w:r>
          </w:p>
        </w:tc>
        <w:tc>
          <w:tcPr>
            <w:tcW w:w="2080" w:type="dxa"/>
            <w:vAlign w:val="center"/>
          </w:tcPr>
          <w:p w14:paraId="301C1CEF">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3.2743</w:t>
            </w:r>
          </w:p>
        </w:tc>
      </w:tr>
      <w:tr w14:paraId="5BDE6EC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40" w:hRule="atLeast"/>
        </w:trPr>
        <w:tc>
          <w:tcPr>
            <w:tcW w:w="2140" w:type="dxa"/>
            <w:vAlign w:val="center"/>
          </w:tcPr>
          <w:p w14:paraId="485BA22A">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(F/A, i,6)</w:t>
            </w:r>
          </w:p>
        </w:tc>
        <w:tc>
          <w:tcPr>
            <w:tcW w:w="2160" w:type="dxa"/>
            <w:vAlign w:val="center"/>
          </w:tcPr>
          <w:p w14:paraId="6182AF52">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7.7156</w:t>
            </w:r>
          </w:p>
        </w:tc>
        <w:tc>
          <w:tcPr>
            <w:tcW w:w="2180" w:type="dxa"/>
            <w:vAlign w:val="center"/>
          </w:tcPr>
          <w:p w14:paraId="3F693F14">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8.5355</w:t>
            </w:r>
          </w:p>
        </w:tc>
        <w:tc>
          <w:tcPr>
            <w:tcW w:w="2080" w:type="dxa"/>
            <w:vAlign w:val="center"/>
          </w:tcPr>
          <w:p w14:paraId="19CAA5D3">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8.9775</w:t>
            </w:r>
          </w:p>
        </w:tc>
      </w:tr>
      <w:tr w14:paraId="309458D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80" w:hRule="atLeast"/>
        </w:trPr>
        <w:tc>
          <w:tcPr>
            <w:tcW w:w="2140" w:type="dxa"/>
            <w:vAlign w:val="center"/>
          </w:tcPr>
          <w:p w14:paraId="1A83D05B">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(P/A, i, 6)</w:t>
            </w:r>
          </w:p>
        </w:tc>
        <w:tc>
          <w:tcPr>
            <w:tcW w:w="2160" w:type="dxa"/>
            <w:vAlign w:val="center"/>
          </w:tcPr>
          <w:p w14:paraId="53A9DE20">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4.3533</w:t>
            </w:r>
          </w:p>
        </w:tc>
        <w:tc>
          <w:tcPr>
            <w:tcW w:w="2180" w:type="dxa"/>
            <w:vAlign w:val="center"/>
          </w:tcPr>
          <w:p w14:paraId="599CA1B3">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3.8887</w:t>
            </w:r>
          </w:p>
        </w:tc>
        <w:tc>
          <w:tcPr>
            <w:tcW w:w="2080" w:type="dxa"/>
            <w:vAlign w:val="center"/>
          </w:tcPr>
          <w:p w14:paraId="1C1D2FFD">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3.6847</w:t>
            </w:r>
          </w:p>
        </w:tc>
      </w:tr>
    </w:tbl>
    <w:p w14:paraId="383BA46E">
      <w:pPr>
        <w:wordWrap/>
        <w:autoSpaceDE w:val="0"/>
        <w:autoSpaceDN w:val="0"/>
        <w:spacing w:before="80" w:after="0" w:line="260" w:lineRule="atLeast"/>
        <w:ind w:left="760" w:right="0"/>
        <w:jc w:val="both"/>
        <w:textAlignment w:val="auto"/>
        <w:rPr>
          <w:sz w:val="18"/>
        </w:rPr>
      </w:pPr>
      <w:r>
        <w:rPr>
          <w:rFonts w:ascii="宋体" w:hAnsi="宋体" w:eastAsia="宋体" w:cs="宋体"/>
          <w:b w:val="0"/>
          <w:i w:val="0"/>
          <w:color w:val="000000"/>
          <w:sz w:val="18"/>
        </w:rPr>
        <w:t>要求：</w:t>
      </w:r>
    </w:p>
    <w:p w14:paraId="44035CAB">
      <w:pPr>
        <w:wordWrap/>
        <w:autoSpaceDE w:val="0"/>
        <w:autoSpaceDN w:val="0"/>
        <w:spacing w:before="180" w:after="0" w:line="280" w:lineRule="atLeast"/>
        <w:ind w:left="760" w:right="0"/>
        <w:jc w:val="both"/>
        <w:textAlignment w:val="auto"/>
        <w:rPr>
          <w:sz w:val="18"/>
        </w:rPr>
      </w:pPr>
      <w:r>
        <w:rPr>
          <w:rFonts w:ascii="宋体" w:hAnsi="宋体" w:eastAsia="宋体" w:cs="宋体"/>
          <w:b w:val="0"/>
          <w:i w:val="0"/>
          <w:color w:val="000000"/>
          <w:sz w:val="18"/>
        </w:rPr>
        <w:t>(1) 计算后付等额租金方式下的每年等额租金额。</w:t>
      </w:r>
    </w:p>
    <w:p w14:paraId="5EE35CE7">
      <w:pPr>
        <w:wordWrap/>
        <w:autoSpaceDE w:val="0"/>
        <w:autoSpaceDN w:val="0"/>
        <w:spacing w:before="220" w:after="0" w:line="260" w:lineRule="atLeast"/>
        <w:ind w:left="760" w:right="0"/>
        <w:jc w:val="both"/>
        <w:textAlignment w:val="auto"/>
        <w:rPr>
          <w:sz w:val="18"/>
        </w:rPr>
      </w:pPr>
      <w:r>
        <w:rPr>
          <w:rFonts w:ascii="宋体" w:hAnsi="宋体" w:eastAsia="宋体" w:cs="宋体"/>
          <w:b w:val="0"/>
          <w:i w:val="0"/>
          <w:color w:val="000000"/>
          <w:sz w:val="18"/>
        </w:rPr>
        <w:t>(2) 计算后付等额租金方式下的5年租金终值。</w:t>
      </w:r>
    </w:p>
    <w:p w14:paraId="4B933794">
      <w:pPr>
        <w:wordWrap/>
        <w:autoSpaceDE w:val="0"/>
        <w:autoSpaceDN w:val="0"/>
        <w:spacing w:before="220" w:after="0" w:line="260" w:lineRule="atLeast"/>
        <w:ind w:left="760" w:right="0"/>
        <w:jc w:val="both"/>
        <w:textAlignment w:val="auto"/>
        <w:rPr>
          <w:sz w:val="18"/>
        </w:rPr>
      </w:pPr>
      <w:r>
        <w:rPr>
          <w:rFonts w:ascii="宋体" w:hAnsi="宋体" w:eastAsia="宋体" w:cs="宋体"/>
          <w:b w:val="0"/>
          <w:i w:val="0"/>
          <w:color w:val="000000"/>
          <w:sz w:val="18"/>
        </w:rPr>
        <w:t>(3) 计算先付等额租金方式下的每年等额租金额。</w:t>
      </w:r>
    </w:p>
    <w:p w14:paraId="604A00F0">
      <w:pPr>
        <w:wordWrap/>
        <w:autoSpaceDE w:val="0"/>
        <w:autoSpaceDN w:val="0"/>
        <w:spacing w:before="140" w:after="0" w:line="280" w:lineRule="atLeast"/>
        <w:ind w:left="760" w:right="0"/>
        <w:jc w:val="both"/>
        <w:textAlignment w:val="auto"/>
        <w:rPr>
          <w:sz w:val="18"/>
        </w:rPr>
      </w:pPr>
      <w:r>
        <w:rPr>
          <w:rFonts w:ascii="宋体" w:hAnsi="宋体" w:eastAsia="宋体" w:cs="宋体"/>
          <w:b w:val="0"/>
          <w:i w:val="0"/>
          <w:color w:val="000000"/>
          <w:sz w:val="18"/>
        </w:rPr>
        <w:t>(4) 计算先付等额租金方式下的5年租金终值。</w:t>
      </w:r>
    </w:p>
    <w:p w14:paraId="025356C9">
      <w:pPr>
        <w:wordWrap/>
        <w:autoSpaceDE w:val="0"/>
        <w:autoSpaceDN w:val="0"/>
        <w:spacing w:before="200" w:after="0" w:line="280" w:lineRule="atLeast"/>
        <w:ind w:left="760" w:right="0"/>
        <w:jc w:val="both"/>
        <w:textAlignment w:val="auto"/>
        <w:rPr>
          <w:sz w:val="18"/>
        </w:rPr>
      </w:pPr>
      <w:r>
        <w:rPr>
          <w:rFonts w:ascii="宋体" w:hAnsi="宋体" w:eastAsia="宋体" w:cs="宋体"/>
          <w:b w:val="0"/>
          <w:i w:val="0"/>
          <w:color w:val="000000"/>
          <w:sz w:val="18"/>
        </w:rPr>
        <w:t>(5) 比较上述两种租金支付方式下的终值大小，说明哪种租金支付方式对企业更为有利。</w:t>
      </w:r>
    </w:p>
    <w:p w14:paraId="27591568">
      <w:pPr>
        <w:wordWrap/>
        <w:autoSpaceDE w:val="0"/>
        <w:autoSpaceDN w:val="0"/>
        <w:spacing w:before="200" w:after="0" w:line="280" w:lineRule="atLeast"/>
        <w:ind w:left="760" w:right="0"/>
        <w:jc w:val="both"/>
        <w:textAlignment w:val="auto"/>
        <w:rPr>
          <w:sz w:val="18"/>
        </w:rPr>
      </w:pPr>
      <w:r>
        <w:rPr>
          <w:rFonts w:ascii="宋体" w:hAnsi="宋体" w:eastAsia="宋体" w:cs="宋体"/>
          <w:b w:val="0"/>
          <w:i w:val="0"/>
          <w:color w:val="000000"/>
          <w:sz w:val="18"/>
        </w:rPr>
        <w:t>(以上计算结果均保留整数)</w:t>
      </w:r>
    </w:p>
    <w:p w14:paraId="789B1D22">
      <w:pPr>
        <w:wordWrap/>
        <w:autoSpaceDE w:val="0"/>
        <w:autoSpaceDN w:val="0"/>
        <w:spacing w:before="220" w:after="0" w:line="260" w:lineRule="atLeast"/>
        <w:ind w:left="760" w:right="0"/>
        <w:jc w:val="both"/>
        <w:textAlignment w:val="auto"/>
        <w:rPr>
          <w:sz w:val="18"/>
        </w:rPr>
      </w:pPr>
      <w:r>
        <w:rPr>
          <w:rFonts w:ascii="宋体" w:hAnsi="宋体" w:eastAsia="宋体" w:cs="宋体"/>
          <w:b w:val="0"/>
          <w:i w:val="0"/>
          <w:color w:val="000000"/>
          <w:sz w:val="18"/>
        </w:rPr>
        <w:t>[答案]</w:t>
      </w:r>
    </w:p>
    <w:p w14:paraId="2E8E25A8">
      <w:pPr>
        <w:wordWrap/>
        <w:autoSpaceDE w:val="0"/>
        <w:autoSpaceDN w:val="0"/>
        <w:spacing w:before="160" w:after="0" w:line="300" w:lineRule="atLeast"/>
        <w:ind w:left="760" w:right="0"/>
        <w:jc w:val="both"/>
        <w:textAlignment w:val="auto"/>
        <w:rPr>
          <w:sz w:val="24"/>
        </w:rPr>
      </w:pPr>
      <w:r>
        <w:rPr>
          <w:rFonts w:ascii="宋体" w:hAnsi="宋体" w:eastAsia="宋体" w:cs="宋体"/>
          <w:b w:val="0"/>
          <w:i w:val="0"/>
          <w:color w:val="000000"/>
          <w:sz w:val="18"/>
        </w:rPr>
        <w:t>(1) 后付等额租金方式下的每年等额租金额</w:t>
      </w:r>
      <w:r>
        <w:rPr>
          <w:rFonts w:ascii="宋体" w:hAnsi="宋体" w:eastAsia="宋体" w:cs="宋体"/>
          <w:sz w:val="24"/>
        </w:rPr>
        <w:t xml:space="preserve">     </w:t>
      </w:r>
      <w:r>
        <w:t xml:space="preserve"> </w:t>
      </w:r>
      <m:oMath>
        <m:r>
          <m:rPr/>
          <w:rPr>
            <w:rFonts w:ascii="Cambria Math" w:hAnsi="Cambria Math"/>
            <w:sz w:val="18"/>
            <w:szCs w:val="18"/>
          </w:rPr>
          <m:t>=50000/(P/A,16</m:t>
        </m:r>
      </m:oMath>
      <w:r>
        <w:rPr>
          <w:rFonts w:ascii="宋体" w:hAnsi="宋体" w:eastAsia="宋体" w:cs="宋体"/>
          <w:b w:val="0"/>
          <w:i w:val="0"/>
          <w:color w:val="000000"/>
          <w:sz w:val="18"/>
        </w:rPr>
        <w:t>(元)</w:t>
      </w:r>
    </w:p>
    <w:p w14:paraId="6DDF88E8">
      <w:pPr>
        <w:wordWrap/>
        <w:autoSpaceDE w:val="0"/>
        <w:autoSpaceDN w:val="0"/>
        <w:spacing w:before="180" w:after="0" w:line="280" w:lineRule="atLeast"/>
        <w:ind w:left="760" w:right="0"/>
        <w:jc w:val="both"/>
        <w:textAlignment w:val="auto"/>
        <w:rPr>
          <w:sz w:val="18"/>
        </w:rPr>
      </w:pPr>
      <w:r>
        <w:rPr>
          <w:rFonts w:ascii="宋体" w:hAnsi="宋体" w:eastAsia="宋体" w:cs="宋体"/>
          <w:b w:val="0"/>
          <w:i w:val="0"/>
          <w:color w:val="000000"/>
          <w:sz w:val="18"/>
        </w:rPr>
        <w:t>(2) 后付等额租金方式下的5年租金终值=15270× (F/A,10%,5) =93225(元)</w:t>
      </w:r>
      <w:r>
        <w:br w:type="page"/>
      </w:r>
    </w:p>
    <w:p w14:paraId="7FD6FB54">
      <w:pPr>
        <w:wordWrap/>
        <w:autoSpaceDE w:val="0"/>
        <w:autoSpaceDN w:val="0"/>
        <w:spacing w:before="660" w:after="0" w:line="280" w:lineRule="atLeast"/>
        <w:ind w:left="780" w:right="0"/>
        <w:jc w:val="both"/>
        <w:textAlignment w:val="auto"/>
        <w:rPr>
          <w:sz w:val="18"/>
        </w:rPr>
      </w:pPr>
      <w:r>
        <w:rPr>
          <w:rFonts w:ascii="宋体" w:hAnsi="宋体" w:eastAsia="宋体" w:cs="宋体"/>
          <w:b w:val="0"/>
          <w:i w:val="0"/>
          <w:color w:val="000000"/>
          <w:sz w:val="18"/>
        </w:rPr>
        <w:t>(3) 先付等额租金方式下的每年等额租金额=50000/[(P/A,14%,4) +1]=12776(元)</w:t>
      </w:r>
    </w:p>
    <w:p w14:paraId="7CE9E23F">
      <w:pPr>
        <w:wordWrap/>
        <w:autoSpaceDE w:val="0"/>
        <w:autoSpaceDN w:val="0"/>
        <w:spacing w:before="200" w:after="0" w:line="280" w:lineRule="atLeast"/>
        <w:ind w:left="780" w:right="0"/>
        <w:jc w:val="both"/>
        <w:textAlignment w:val="auto"/>
        <w:rPr>
          <w:sz w:val="24"/>
        </w:rPr>
      </w:pPr>
      <w:r>
        <w:rPr>
          <w:rFonts w:ascii="宋体" w:hAnsi="宋体" w:eastAsia="宋体" w:cs="宋体"/>
          <w:b w:val="0"/>
          <w:i w:val="0"/>
          <w:color w:val="000000"/>
          <w:sz w:val="18"/>
        </w:rPr>
        <w:t>(4) 先付等额租金方式下的5年租金终值：</w:t>
      </w:r>
      <w:r>
        <w:rPr>
          <w:rFonts w:ascii="宋体" w:hAnsi="宋体" w:eastAsia="宋体" w:cs="宋体"/>
          <w:sz w:val="24"/>
        </w:rPr>
        <w:t xml:space="preserve">    </w:t>
      </w:r>
      <w:r>
        <w:t xml:space="preserve"> </w:t>
      </w:r>
      <m:oMath>
        <m:r>
          <m:rPr/>
          <w:rPr>
            <w:rFonts w:ascii="Cambria Math" w:hAnsi="Cambria Math"/>
            <w:sz w:val="18"/>
            <w:szCs w:val="18"/>
          </w:rPr>
          <m:t>=12776×(F/A,10</m:t>
        </m:r>
      </m:oMath>
      <w:r>
        <w:rPr>
          <w:rFonts w:ascii="宋体" w:hAnsi="宋体" w:eastAsia="宋体" w:cs="宋体"/>
          <w:b w:val="0"/>
          <w:i w:val="0"/>
          <w:color w:val="000000"/>
          <w:sz w:val="18"/>
        </w:rPr>
        <w:t>(元)</w:t>
      </w:r>
    </w:p>
    <w:p w14:paraId="7F6927ED">
      <w:pPr>
        <w:wordWrap/>
        <w:autoSpaceDE w:val="0"/>
        <w:autoSpaceDN w:val="0"/>
        <w:spacing w:before="40" w:after="0" w:line="430" w:lineRule="atLeast"/>
        <w:ind w:left="680" w:right="460" w:firstLine="100"/>
        <w:jc w:val="both"/>
        <w:textAlignment w:val="auto"/>
        <w:rPr>
          <w:sz w:val="18"/>
        </w:rPr>
      </w:pPr>
      <w:r>
        <w:rPr>
          <w:rFonts w:ascii="宋体" w:hAnsi="宋体" w:eastAsia="宋体" w:cs="宋体"/>
          <w:b w:val="0"/>
          <w:i w:val="0"/>
          <w:color w:val="000000"/>
          <w:sz w:val="18"/>
        </w:rPr>
        <w:t>(5)因为先付等额租金方式下的5年租金终值小于后付等额租金方式下的5年租金终值，所以应当选择先付等额租金支付方式。</w:t>
      </w:r>
    </w:p>
    <w:p w14:paraId="4A03D473">
      <w:pPr>
        <w:wordWrap/>
        <w:autoSpaceDE w:val="0"/>
        <w:autoSpaceDN w:val="0"/>
        <w:spacing w:before="40" w:after="0" w:line="447" w:lineRule="atLeast"/>
        <w:ind w:left="260" w:right="420"/>
        <w:jc w:val="both"/>
        <w:textAlignment w:val="auto"/>
        <w:rPr>
          <w:sz w:val="18"/>
        </w:rPr>
      </w:pPr>
      <w:r>
        <w:rPr>
          <w:rFonts w:ascii="宋体" w:hAnsi="宋体" w:eastAsia="宋体" w:cs="宋体"/>
          <w:b w:val="0"/>
          <w:i w:val="0"/>
          <w:color w:val="000000"/>
          <w:sz w:val="18"/>
        </w:rPr>
        <w:t>2.某公司拟进行股票投资，计划购买A、B、C三种股票，并分别设计了甲乙两种投资组合。已知三种股票的β系数分别为1.5、1.0和0.5，它们在甲种投资组合下的投资比重为50%、30%和20%； 乙种投资组合的风险收益率为3.4%。同期市场上所有股票的平均收益率为12%，无风险收益率为8%。</w:t>
      </w:r>
    </w:p>
    <w:p w14:paraId="71A7178D">
      <w:pPr>
        <w:wordWrap/>
        <w:autoSpaceDE w:val="0"/>
        <w:autoSpaceDN w:val="0"/>
        <w:spacing w:before="180" w:after="0" w:line="280" w:lineRule="atLeast"/>
        <w:ind w:left="780" w:right="0"/>
        <w:jc w:val="both"/>
        <w:textAlignment w:val="auto"/>
        <w:rPr>
          <w:sz w:val="18"/>
        </w:rPr>
      </w:pPr>
      <w:r>
        <w:rPr>
          <w:rFonts w:ascii="宋体" w:hAnsi="宋体" w:eastAsia="宋体" w:cs="宋体"/>
          <w:b w:val="0"/>
          <w:i w:val="0"/>
          <w:color w:val="000000"/>
          <w:sz w:val="18"/>
        </w:rPr>
        <w:t>要求：</w:t>
      </w:r>
    </w:p>
    <w:p w14:paraId="042324B2">
      <w:pPr>
        <w:wordWrap/>
        <w:autoSpaceDE w:val="0"/>
        <w:autoSpaceDN w:val="0"/>
        <w:spacing w:before="200" w:after="0" w:line="260" w:lineRule="atLeast"/>
        <w:ind w:left="780" w:right="0"/>
        <w:jc w:val="both"/>
        <w:textAlignment w:val="auto"/>
        <w:rPr>
          <w:sz w:val="18"/>
        </w:rPr>
      </w:pPr>
      <w:r>
        <w:rPr>
          <w:rFonts w:ascii="宋体" w:hAnsi="宋体" w:eastAsia="宋体" w:cs="宋体"/>
          <w:b w:val="0"/>
          <w:i w:val="0"/>
          <w:color w:val="000000"/>
          <w:sz w:val="18"/>
        </w:rPr>
        <w:t>(1)根据A、B、C股票的β系数，分别评价这三种股票相对于市场投资组合而言的投资风险大小。</w:t>
      </w:r>
    </w:p>
    <w:p w14:paraId="40E43DCE">
      <w:pPr>
        <w:wordWrap/>
        <w:autoSpaceDE w:val="0"/>
        <w:autoSpaceDN w:val="0"/>
        <w:spacing w:before="180" w:after="0" w:line="260" w:lineRule="atLeast"/>
        <w:ind w:left="780" w:right="0"/>
        <w:jc w:val="both"/>
        <w:textAlignment w:val="auto"/>
        <w:rPr>
          <w:sz w:val="18"/>
        </w:rPr>
      </w:pPr>
      <w:r>
        <w:rPr>
          <w:rFonts w:ascii="宋体" w:hAnsi="宋体" w:eastAsia="宋体" w:cs="宋体"/>
          <w:b w:val="0"/>
          <w:i w:val="0"/>
          <w:color w:val="000000"/>
          <w:sz w:val="18"/>
        </w:rPr>
        <w:t>(2) 按照资本资产定价模型计算A股票的必要收益率。</w:t>
      </w:r>
    </w:p>
    <w:p w14:paraId="76E0AC64">
      <w:pPr>
        <w:wordWrap/>
        <w:autoSpaceDE w:val="0"/>
        <w:autoSpaceDN w:val="0"/>
        <w:spacing w:before="240" w:after="0" w:line="260" w:lineRule="atLeast"/>
        <w:ind w:left="780" w:right="0"/>
        <w:jc w:val="both"/>
        <w:textAlignment w:val="auto"/>
        <w:rPr>
          <w:sz w:val="18"/>
        </w:rPr>
      </w:pPr>
      <w:r>
        <w:rPr>
          <w:rFonts w:ascii="宋体" w:hAnsi="宋体" w:eastAsia="宋体" w:cs="宋体"/>
          <w:b w:val="0"/>
          <w:i w:val="0"/>
          <w:color w:val="000000"/>
          <w:sz w:val="18"/>
        </w:rPr>
        <w:t>(3) 计算甲种投资组合的β系数和风险收益率。</w:t>
      </w:r>
    </w:p>
    <w:p w14:paraId="5CD3D96D">
      <w:pPr>
        <w:wordWrap/>
        <w:autoSpaceDE w:val="0"/>
        <w:autoSpaceDN w:val="0"/>
        <w:spacing w:before="220" w:after="0" w:line="260" w:lineRule="atLeast"/>
        <w:ind w:left="780" w:right="0"/>
        <w:jc w:val="both"/>
        <w:textAlignment w:val="auto"/>
        <w:rPr>
          <w:sz w:val="18"/>
        </w:rPr>
      </w:pPr>
      <w:r>
        <w:rPr>
          <w:rFonts w:ascii="宋体" w:hAnsi="宋体" w:eastAsia="宋体" w:cs="宋体"/>
          <w:b w:val="0"/>
          <w:i w:val="0"/>
          <w:color w:val="000000"/>
          <w:sz w:val="18"/>
        </w:rPr>
        <w:t>(4) 计算乙种投资组合的β系数和必要收益率。</w:t>
      </w:r>
    </w:p>
    <w:p w14:paraId="5A4D078B">
      <w:pPr>
        <w:wordWrap/>
        <w:autoSpaceDE w:val="0"/>
        <w:autoSpaceDN w:val="0"/>
        <w:spacing w:before="220" w:after="0" w:line="260" w:lineRule="atLeast"/>
        <w:ind w:left="780" w:right="0"/>
        <w:jc w:val="both"/>
        <w:textAlignment w:val="auto"/>
        <w:rPr>
          <w:sz w:val="18"/>
        </w:rPr>
      </w:pPr>
      <w:r>
        <w:rPr>
          <w:rFonts w:ascii="宋体" w:hAnsi="宋体" w:eastAsia="宋体" w:cs="宋体"/>
          <w:b w:val="0"/>
          <w:i w:val="0"/>
          <w:color w:val="000000"/>
          <w:sz w:val="18"/>
        </w:rPr>
        <w:t>(5) 比较甲乙两种投资组合的β系数，评价它们的投资风险大小。</w:t>
      </w:r>
    </w:p>
    <w:p w14:paraId="0BE7F5C9">
      <w:pPr>
        <w:wordWrap/>
        <w:autoSpaceDE w:val="0"/>
        <w:autoSpaceDN w:val="0"/>
        <w:spacing w:before="160" w:after="0" w:line="280" w:lineRule="atLeast"/>
        <w:ind w:left="780" w:right="0"/>
        <w:jc w:val="both"/>
        <w:textAlignment w:val="auto"/>
        <w:rPr>
          <w:sz w:val="18"/>
        </w:rPr>
      </w:pPr>
      <w:r>
        <w:rPr>
          <w:rFonts w:ascii="宋体" w:hAnsi="宋体" w:eastAsia="宋体" w:cs="宋体"/>
          <w:b w:val="0"/>
          <w:i w:val="0"/>
          <w:color w:val="000000"/>
          <w:sz w:val="18"/>
        </w:rPr>
        <w:t>[答案]</w:t>
      </w:r>
    </w:p>
    <w:p w14:paraId="45D46ECB">
      <w:pPr>
        <w:wordWrap/>
        <w:autoSpaceDE w:val="0"/>
        <w:autoSpaceDN w:val="0"/>
        <w:spacing w:before="20" w:after="0" w:line="460" w:lineRule="atLeast"/>
        <w:ind w:left="700" w:right="420" w:firstLine="80"/>
        <w:jc w:val="both"/>
        <w:textAlignment w:val="auto"/>
        <w:rPr>
          <w:sz w:val="18"/>
        </w:rPr>
      </w:pPr>
      <w:r>
        <w:rPr>
          <w:rFonts w:ascii="宋体" w:hAnsi="宋体" w:eastAsia="宋体" w:cs="宋体"/>
          <w:b w:val="0"/>
          <w:i w:val="0"/>
          <w:color w:val="000000"/>
          <w:sz w:val="18"/>
        </w:rPr>
        <w:t>(1) A股票的β系数为1.5，B股票的β系数为1.0，C股票的β系数为0.5，所以A股票相对于市场投资组合的投资风险大于B股票，B股票相对于市场投资组合的投资风险大于C股票。</w:t>
      </w:r>
    </w:p>
    <w:p w14:paraId="2425D4C5">
      <w:pPr>
        <w:wordWrap/>
        <w:autoSpaceDE w:val="0"/>
        <w:autoSpaceDN w:val="0"/>
        <w:spacing w:before="180" w:after="0" w:line="260" w:lineRule="atLeast"/>
        <w:ind w:left="780" w:right="0"/>
        <w:jc w:val="both"/>
        <w:textAlignment w:val="auto"/>
        <w:rPr>
          <w:sz w:val="18"/>
        </w:rPr>
      </w:pPr>
      <w:r>
        <w:rPr>
          <w:rFonts w:ascii="宋体" w:hAnsi="宋体" w:eastAsia="宋体" w:cs="宋体"/>
          <w:b w:val="0"/>
          <w:i w:val="0"/>
          <w:color w:val="000000"/>
          <w:sz w:val="18"/>
        </w:rPr>
        <w:t>(2) A股票的必要收益率=8%+1.5× (12%-8%) =14%</w:t>
      </w:r>
    </w:p>
    <w:p w14:paraId="0BD5766E">
      <w:pPr>
        <w:wordWrap/>
        <w:autoSpaceDE w:val="0"/>
        <w:autoSpaceDN w:val="0"/>
        <w:spacing w:before="220" w:after="0" w:line="260" w:lineRule="atLeast"/>
        <w:ind w:left="780" w:right="0"/>
        <w:jc w:val="both"/>
        <w:textAlignment w:val="auto"/>
        <w:rPr>
          <w:sz w:val="18"/>
        </w:rPr>
      </w:pPr>
      <w:r>
        <w:rPr>
          <w:rFonts w:ascii="宋体" w:hAnsi="宋体" w:eastAsia="宋体" w:cs="宋体"/>
          <w:b w:val="0"/>
          <w:i w:val="0"/>
          <w:color w:val="000000"/>
          <w:sz w:val="18"/>
        </w:rPr>
        <w:t>(3) 甲种投资组合的β系数=1.5×50%+1.0×30%+0.5×20%=1.15</w:t>
      </w:r>
    </w:p>
    <w:p w14:paraId="7A810CA3">
      <w:pPr>
        <w:wordWrap/>
        <w:autoSpaceDE w:val="0"/>
        <w:autoSpaceDN w:val="0"/>
        <w:spacing w:before="200" w:after="0" w:line="280" w:lineRule="atLeast"/>
        <w:ind w:left="780" w:right="0"/>
        <w:jc w:val="both"/>
        <w:textAlignment w:val="auto"/>
        <w:rPr>
          <w:sz w:val="18"/>
        </w:rPr>
      </w:pPr>
      <w:r>
        <w:rPr>
          <w:rFonts w:ascii="宋体" w:hAnsi="宋体" w:eastAsia="宋体" w:cs="宋体"/>
          <w:b w:val="0"/>
          <w:i w:val="0"/>
          <w:color w:val="000000"/>
          <w:sz w:val="18"/>
        </w:rPr>
        <w:t>甲种投资组合的风险收益率=1.15× (12%-8%) =4.6%</w:t>
      </w:r>
    </w:p>
    <w:p w14:paraId="523784C1">
      <w:pPr>
        <w:wordWrap/>
        <w:autoSpaceDE w:val="0"/>
        <w:autoSpaceDN w:val="0"/>
        <w:spacing w:before="180" w:after="0" w:line="260" w:lineRule="atLeast"/>
        <w:ind w:left="780" w:right="0"/>
        <w:jc w:val="both"/>
        <w:textAlignment w:val="auto"/>
        <w:rPr>
          <w:sz w:val="18"/>
        </w:rPr>
      </w:pPr>
      <w:r>
        <w:rPr>
          <w:rFonts w:ascii="宋体" w:hAnsi="宋体" w:eastAsia="宋体" w:cs="宋体"/>
          <w:b w:val="0"/>
          <w:i w:val="0"/>
          <w:color w:val="000000"/>
          <w:sz w:val="18"/>
        </w:rPr>
        <w:t>(4) 乙种投资组合的β系数=3.4%/(12%-8%) =0.85</w:t>
      </w:r>
    </w:p>
    <w:p w14:paraId="6D60856C">
      <w:pPr>
        <w:wordWrap/>
        <w:autoSpaceDE w:val="0"/>
        <w:autoSpaceDN w:val="0"/>
        <w:spacing w:before="220" w:after="0" w:line="260" w:lineRule="atLeast"/>
        <w:ind w:left="780" w:right="0"/>
        <w:jc w:val="both"/>
        <w:textAlignment w:val="auto"/>
        <w:rPr>
          <w:sz w:val="18"/>
        </w:rPr>
      </w:pPr>
      <w:r>
        <w:rPr>
          <w:rFonts w:ascii="宋体" w:hAnsi="宋体" w:eastAsia="宋体" w:cs="宋体"/>
          <w:b w:val="0"/>
          <w:i w:val="0"/>
          <w:color w:val="000000"/>
          <w:sz w:val="18"/>
        </w:rPr>
        <w:t>乙种投资组合的必要收益率=8%+3.4%=11.4%</w:t>
      </w:r>
    </w:p>
    <w:p w14:paraId="22A681D1">
      <w:pPr>
        <w:wordWrap/>
        <w:autoSpaceDE w:val="0"/>
        <w:autoSpaceDN w:val="0"/>
        <w:spacing w:before="40" w:after="0" w:line="440" w:lineRule="atLeast"/>
        <w:ind w:left="260" w:right="460" w:firstLine="520"/>
        <w:jc w:val="both"/>
        <w:textAlignment w:val="auto"/>
        <w:rPr>
          <w:sz w:val="18"/>
        </w:rPr>
      </w:pPr>
      <w:r>
        <w:rPr>
          <w:rFonts w:ascii="宋体" w:hAnsi="宋体" w:eastAsia="宋体" w:cs="宋体"/>
          <w:b w:val="0"/>
          <w:i w:val="0"/>
          <w:color w:val="000000"/>
          <w:sz w:val="18"/>
        </w:rPr>
        <w:t>(5) 甲种投资组合的β系数大于乙种投资组合的β系数，说明甲的投资风险大于乙的投资风险。3.某企业预测2005年度销售收入净额为4500万元，现销与赊销比例为1：4，应收账款平均收账天数为60天，变动成本率为 50%，企业的资金成本率为 10%。一年按360天计算。</w:t>
      </w:r>
    </w:p>
    <w:p w14:paraId="1901EFC9">
      <w:pPr>
        <w:wordWrap/>
        <w:autoSpaceDE w:val="0"/>
        <w:autoSpaceDN w:val="0"/>
        <w:spacing w:before="200" w:after="0" w:line="260" w:lineRule="atLeast"/>
        <w:ind w:left="780" w:right="0"/>
        <w:jc w:val="both"/>
        <w:textAlignment w:val="auto"/>
        <w:rPr>
          <w:sz w:val="18"/>
        </w:rPr>
      </w:pPr>
      <w:r>
        <w:rPr>
          <w:rFonts w:ascii="宋体" w:hAnsi="宋体" w:eastAsia="宋体" w:cs="宋体"/>
          <w:b w:val="0"/>
          <w:i w:val="0"/>
          <w:color w:val="000000"/>
          <w:sz w:val="18"/>
        </w:rPr>
        <w:t>要求：</w:t>
      </w:r>
    </w:p>
    <w:p w14:paraId="663FF21D">
      <w:pPr>
        <w:wordWrap/>
        <w:autoSpaceDE w:val="0"/>
        <w:autoSpaceDN w:val="0"/>
        <w:spacing w:before="200" w:after="0" w:line="260" w:lineRule="atLeast"/>
        <w:ind w:left="780" w:right="0"/>
        <w:jc w:val="both"/>
        <w:textAlignment w:val="auto"/>
        <w:rPr>
          <w:sz w:val="18"/>
        </w:rPr>
      </w:pPr>
      <w:r>
        <w:rPr>
          <w:rFonts w:ascii="宋体" w:hAnsi="宋体" w:eastAsia="宋体" w:cs="宋体"/>
          <w:b w:val="0"/>
          <w:i w:val="0"/>
          <w:color w:val="000000"/>
          <w:sz w:val="18"/>
        </w:rPr>
        <w:t>(1) 计算2005年度赊销额。</w:t>
      </w:r>
    </w:p>
    <w:p w14:paraId="4D6E9063">
      <w:pPr>
        <w:wordWrap/>
        <w:autoSpaceDE w:val="0"/>
        <w:autoSpaceDN w:val="0"/>
        <w:spacing w:before="240" w:after="0" w:line="260" w:lineRule="atLeast"/>
        <w:ind w:left="780" w:right="0"/>
        <w:jc w:val="both"/>
        <w:textAlignment w:val="auto"/>
        <w:rPr>
          <w:sz w:val="18"/>
        </w:rPr>
      </w:pPr>
      <w:r>
        <w:rPr>
          <w:rFonts w:ascii="宋体" w:hAnsi="宋体" w:eastAsia="宋体" w:cs="宋体"/>
          <w:b w:val="0"/>
          <w:i w:val="0"/>
          <w:color w:val="000000"/>
          <w:sz w:val="18"/>
        </w:rPr>
        <w:t>(2) 计算2005年度应收账款的平均余额。</w:t>
      </w:r>
    </w:p>
    <w:p w14:paraId="0B9F3CEF">
      <w:pPr>
        <w:wordWrap/>
        <w:autoSpaceDE w:val="0"/>
        <w:autoSpaceDN w:val="0"/>
        <w:spacing w:before="180" w:after="0" w:line="260" w:lineRule="atLeast"/>
        <w:ind w:left="780" w:right="0"/>
        <w:jc w:val="both"/>
        <w:textAlignment w:val="auto"/>
        <w:rPr>
          <w:sz w:val="18"/>
        </w:rPr>
      </w:pPr>
      <w:r>
        <w:rPr>
          <w:rFonts w:ascii="宋体" w:hAnsi="宋体" w:eastAsia="宋体" w:cs="宋体"/>
          <w:b w:val="0"/>
          <w:i w:val="0"/>
          <w:color w:val="000000"/>
          <w:sz w:val="18"/>
        </w:rPr>
        <w:t>(3) 计算2005年度维持赊销业务所需要的资金额。</w:t>
      </w:r>
    </w:p>
    <w:p w14:paraId="30297A2E">
      <w:pPr>
        <w:wordWrap/>
        <w:autoSpaceDE w:val="0"/>
        <w:autoSpaceDN w:val="0"/>
        <w:spacing w:before="220" w:after="0" w:line="260" w:lineRule="atLeast"/>
        <w:ind w:left="780" w:right="0"/>
        <w:jc w:val="both"/>
        <w:textAlignment w:val="auto"/>
        <w:rPr>
          <w:sz w:val="18"/>
        </w:rPr>
      </w:pPr>
      <w:r>
        <w:rPr>
          <w:rFonts w:ascii="宋体" w:hAnsi="宋体" w:eastAsia="宋体" w:cs="宋体"/>
          <w:b w:val="0"/>
          <w:i w:val="0"/>
          <w:color w:val="000000"/>
          <w:sz w:val="18"/>
        </w:rPr>
        <w:t>(4) 计算2005年度应收账款的机会成本额。</w:t>
      </w:r>
    </w:p>
    <w:p w14:paraId="756FD640">
      <w:pPr>
        <w:wordWrap/>
        <w:autoSpaceDE w:val="0"/>
        <w:autoSpaceDN w:val="0"/>
        <w:spacing w:before="200" w:after="0" w:line="260" w:lineRule="atLeast"/>
        <w:ind w:left="780" w:right="0"/>
        <w:jc w:val="both"/>
        <w:textAlignment w:val="auto"/>
        <w:rPr>
          <w:sz w:val="18"/>
        </w:rPr>
      </w:pPr>
      <w:r>
        <w:rPr>
          <w:rFonts w:ascii="宋体" w:hAnsi="宋体" w:eastAsia="宋体" w:cs="宋体"/>
          <w:b w:val="0"/>
          <w:i w:val="0"/>
          <w:color w:val="000000"/>
          <w:sz w:val="18"/>
        </w:rPr>
        <w:t>(5)若2005年应收账款需要控制在400万元，在其他因素不变的条件下，应收账款平均收账天数</w:t>
      </w:r>
      <w:r>
        <w:br w:type="page"/>
      </w:r>
    </w:p>
    <w:p w14:paraId="187DD548">
      <w:pPr>
        <w:wordWrap/>
        <w:autoSpaceDE w:val="0"/>
        <w:autoSpaceDN w:val="0"/>
        <w:spacing w:before="660" w:after="0" w:line="280" w:lineRule="atLeast"/>
        <w:ind w:left="760" w:right="0"/>
        <w:jc w:val="both"/>
        <w:textAlignment w:val="auto"/>
        <w:rPr>
          <w:sz w:val="19"/>
        </w:rPr>
      </w:pPr>
      <w:r>
        <w:rPr>
          <w:rFonts w:ascii="宋体" w:hAnsi="宋体" w:eastAsia="宋体" w:cs="宋体"/>
          <w:b w:val="0"/>
          <w:i w:val="0"/>
          <w:color w:val="000000"/>
          <w:sz w:val="19"/>
        </w:rPr>
        <w:t>应调整为多少天?</w:t>
      </w:r>
    </w:p>
    <w:p w14:paraId="0A550274">
      <w:pPr>
        <w:wordWrap/>
        <w:autoSpaceDE w:val="0"/>
        <w:autoSpaceDN w:val="0"/>
        <w:spacing w:before="220" w:after="0" w:line="260" w:lineRule="atLeast"/>
        <w:ind w:left="760" w:right="0"/>
        <w:jc w:val="both"/>
        <w:textAlignment w:val="auto"/>
        <w:rPr>
          <w:sz w:val="19"/>
        </w:rPr>
      </w:pPr>
      <w:r>
        <w:rPr>
          <w:rFonts w:ascii="宋体" w:hAnsi="宋体" w:eastAsia="宋体" w:cs="宋体"/>
          <w:b w:val="0"/>
          <w:i w:val="0"/>
          <w:color w:val="000000"/>
          <w:sz w:val="19"/>
        </w:rPr>
        <w:t>[答案]</w:t>
      </w:r>
    </w:p>
    <w:p w14:paraId="1045F6CD">
      <w:pPr>
        <w:wordWrap/>
        <w:autoSpaceDE w:val="0"/>
        <w:autoSpaceDN w:val="0"/>
        <w:spacing w:before="20" w:after="0" w:line="440" w:lineRule="atLeast"/>
        <w:ind w:left="680" w:right="480" w:firstLine="80"/>
        <w:jc w:val="both"/>
        <w:textAlignment w:val="auto"/>
        <w:rPr>
          <w:sz w:val="24"/>
        </w:rPr>
      </w:pPr>
      <w:r>
        <w:rPr>
          <w:rFonts w:ascii="宋体" w:hAnsi="宋体" w:eastAsia="宋体" w:cs="宋体"/>
          <w:b w:val="0"/>
          <w:i w:val="0"/>
          <w:color w:val="000000"/>
          <w:sz w:val="19"/>
        </w:rPr>
        <w:t>(1) 现销与赊销比例为1：4，所以现销额=赊销额/4，即赊销额+赊销额</w:t>
      </w:r>
      <w:r>
        <w:rPr>
          <w:rFonts w:ascii="宋体" w:hAnsi="宋体" w:eastAsia="宋体" w:cs="宋体"/>
          <w:sz w:val="24"/>
        </w:rPr>
        <w:t xml:space="preserve">       </w:t>
      </w:r>
      <w:r>
        <w:t xml:space="preserve"> </w:t>
      </w:r>
      <m:oMath>
        <m:r>
          <m:rPr/>
          <w:rPr>
            <w:rFonts w:ascii="Cambria Math" w:hAnsi="Cambria Math"/>
            <w:sz w:val="18"/>
            <w:szCs w:val="18"/>
          </w:rPr>
          <m:t>4=4500,</m:t>
        </m:r>
      </m:oMath>
      <w:r>
        <w:rPr>
          <w:rFonts w:ascii="宋体" w:hAnsi="宋体" w:eastAsia="宋体" w:cs="宋体"/>
          <w:b w:val="0"/>
          <w:i w:val="0"/>
          <w:color w:val="000000"/>
          <w:sz w:val="19"/>
        </w:rPr>
        <w:t>所以赊销额=3600(万元)</w:t>
      </w:r>
    </w:p>
    <w:p w14:paraId="7F43596B">
      <w:pPr>
        <w:wordWrap/>
        <w:autoSpaceDE w:val="0"/>
        <w:autoSpaceDN w:val="0"/>
        <w:spacing w:before="200" w:after="0" w:line="280" w:lineRule="atLeast"/>
        <w:ind w:left="760" w:right="0"/>
        <w:jc w:val="both"/>
        <w:textAlignment w:val="auto"/>
        <w:rPr>
          <w:sz w:val="19"/>
        </w:rPr>
      </w:pPr>
      <w:r>
        <w:rPr>
          <w:rFonts w:ascii="宋体" w:hAnsi="宋体" w:eastAsia="宋体" w:cs="宋体"/>
          <w:b w:val="0"/>
          <w:i w:val="0"/>
          <w:color w:val="000000"/>
          <w:sz w:val="19"/>
        </w:rPr>
        <w:t>(2) 应收账款的平均余额=日赊销额×平均收账天数=3600/360×60=600(万元)</w:t>
      </w:r>
    </w:p>
    <w:p w14:paraId="1C355861">
      <w:pPr>
        <w:wordWrap/>
        <w:autoSpaceDE w:val="0"/>
        <w:autoSpaceDN w:val="0"/>
        <w:spacing w:before="200" w:after="0" w:line="280" w:lineRule="atLeast"/>
        <w:ind w:left="760" w:right="0"/>
        <w:jc w:val="both"/>
        <w:textAlignment w:val="auto"/>
        <w:rPr>
          <w:sz w:val="24"/>
        </w:rPr>
      </w:pPr>
      <w:r>
        <w:rPr>
          <w:rFonts w:ascii="宋体" w:hAnsi="宋体" w:eastAsia="宋体" w:cs="宋体"/>
          <w:b w:val="0"/>
          <w:i w:val="0"/>
          <w:color w:val="000000"/>
          <w:sz w:val="19"/>
        </w:rPr>
        <w:t>(3) 维持赊销业务所需要的资金额=应收账款的平均余额×变动成本率</w:t>
      </w:r>
      <w:r>
        <w:rPr>
          <w:rFonts w:ascii="宋体" w:hAnsi="宋体" w:eastAsia="宋体" w:cs="宋体"/>
          <w:sz w:val="24"/>
        </w:rPr>
        <w:t xml:space="preserve">      </w:t>
      </w:r>
      <w:r>
        <w:rPr>
          <w:rFonts w:ascii="宋体" w:hAnsi="宋体" w:eastAsia="宋体" w:cs="宋体"/>
          <w:sz w:val="6"/>
        </w:rPr>
        <w:t xml:space="preserve"> </w:t>
      </w:r>
      <w:r>
        <w:t xml:space="preserve"> </w:t>
      </w:r>
      <m:oMath>
        <m:r>
          <m:rPr/>
          <w:rPr>
            <w:rFonts w:ascii="Cambria Math" w:hAnsi="Cambria Math"/>
            <w:sz w:val="18"/>
            <w:szCs w:val="18"/>
          </w:rPr>
          <m:t>=600×50</m:t>
        </m:r>
      </m:oMath>
      <w:r>
        <w:rPr>
          <w:rFonts w:ascii="宋体" w:hAnsi="宋体" w:eastAsia="宋体" w:cs="宋体"/>
          <w:b w:val="0"/>
          <w:i w:val="0"/>
          <w:color w:val="000000"/>
          <w:sz w:val="19"/>
        </w:rPr>
        <w:t>(万元)</w:t>
      </w:r>
    </w:p>
    <w:p w14:paraId="1AE545D9">
      <w:pPr>
        <w:wordWrap/>
        <w:autoSpaceDE w:val="0"/>
        <w:autoSpaceDN w:val="0"/>
        <w:spacing w:before="160" w:after="0" w:line="280" w:lineRule="atLeast"/>
        <w:ind w:left="760" w:right="0"/>
        <w:jc w:val="both"/>
        <w:textAlignment w:val="auto"/>
        <w:rPr>
          <w:sz w:val="24"/>
        </w:rPr>
      </w:pPr>
      <w:r>
        <w:rPr>
          <w:rFonts w:ascii="宋体" w:hAnsi="宋体" w:eastAsia="宋体" w:cs="宋体"/>
          <w:b w:val="0"/>
          <w:i w:val="0"/>
          <w:color w:val="000000"/>
          <w:sz w:val="19"/>
        </w:rPr>
        <w:t>(4) 应收账款的机会成本=维持赊销业务所需要的资金×资金成本率</w:t>
      </w:r>
      <w:r>
        <w:rPr>
          <w:rFonts w:ascii="宋体" w:hAnsi="宋体" w:eastAsia="宋体" w:cs="宋体"/>
          <w:sz w:val="24"/>
        </w:rPr>
        <w:t xml:space="preserve">      </w:t>
      </w:r>
      <w:r>
        <w:t xml:space="preserve"> </w:t>
      </w:r>
      <m:oMath>
        <m:r>
          <m:rPr/>
          <w:rPr>
            <w:rFonts w:ascii="Cambria Math" w:hAnsi="Cambria Math"/>
            <w:sz w:val="18"/>
            <w:szCs w:val="18"/>
          </w:rPr>
          <m:t>=300×10</m:t>
        </m:r>
      </m:oMath>
      <w:r>
        <w:rPr>
          <w:rFonts w:ascii="宋体" w:hAnsi="宋体" w:eastAsia="宋体" w:cs="宋体"/>
          <w:b w:val="0"/>
          <w:i w:val="0"/>
          <w:color w:val="000000"/>
          <w:sz w:val="19"/>
        </w:rPr>
        <w:t>(万元)</w:t>
      </w:r>
    </w:p>
    <w:p w14:paraId="0EB90A8D">
      <w:pPr>
        <w:wordWrap/>
        <w:autoSpaceDE w:val="0"/>
        <w:autoSpaceDN w:val="0"/>
        <w:spacing w:before="20" w:after="0" w:line="460" w:lineRule="atLeast"/>
        <w:ind w:left="660" w:right="1520" w:firstLine="100"/>
        <w:jc w:val="both"/>
        <w:textAlignment w:val="auto"/>
        <w:rPr>
          <w:sz w:val="19"/>
        </w:rPr>
      </w:pPr>
      <w:r>
        <w:rPr>
          <w:rFonts w:ascii="宋体" w:hAnsi="宋体" w:eastAsia="宋体" w:cs="宋体"/>
          <w:b w:val="0"/>
          <w:i w:val="0"/>
          <w:color w:val="000000"/>
          <w:sz w:val="19"/>
        </w:rPr>
        <w:t>(5) 应收账款的平均余额=日赊销额×平均收账天数=3600/360×平均收账天数=400，所以平均收账天数=40(天)。</w:t>
      </w:r>
    </w:p>
    <w:p w14:paraId="30A087B1">
      <w:pPr>
        <w:wordWrap/>
        <w:autoSpaceDE w:val="0"/>
        <w:autoSpaceDN w:val="0"/>
        <w:spacing w:before="20" w:after="0" w:line="455" w:lineRule="atLeast"/>
        <w:ind w:left="260" w:right="440" w:firstLine="20"/>
        <w:jc w:val="both"/>
        <w:textAlignment w:val="auto"/>
        <w:rPr>
          <w:sz w:val="19"/>
        </w:rPr>
      </w:pPr>
      <w:r>
        <w:rPr>
          <w:rFonts w:ascii="宋体" w:hAnsi="宋体" w:eastAsia="宋体" w:cs="宋体"/>
          <w:b w:val="0"/>
          <w:i w:val="0"/>
          <w:color w:val="000000"/>
          <w:sz w:val="19"/>
        </w:rPr>
        <w:t>4.某公司成立于2003年1月1日，2003年度实现的净利润为1000万元，分配现金股利550万元，提取盈余公积450万元(所提盈余公积均已指定用途)。2004年实现的净利润为900万元(不考虑计提法定盈余公积的因素)。2005年计划增加投资，所需资金为700万元。假定公司目标资本结构为自有资金占60%, 借人资金占40%。</w:t>
      </w:r>
    </w:p>
    <w:p w14:paraId="35B53DE7">
      <w:pPr>
        <w:wordWrap/>
        <w:autoSpaceDE w:val="0"/>
        <w:autoSpaceDN w:val="0"/>
        <w:spacing w:before="140" w:after="0" w:line="280" w:lineRule="atLeast"/>
        <w:ind w:left="760" w:right="0"/>
        <w:jc w:val="both"/>
        <w:textAlignment w:val="auto"/>
        <w:rPr>
          <w:sz w:val="19"/>
        </w:rPr>
      </w:pPr>
      <w:r>
        <w:rPr>
          <w:rFonts w:ascii="宋体" w:hAnsi="宋体" w:eastAsia="宋体" w:cs="宋体"/>
          <w:b w:val="0"/>
          <w:i w:val="0"/>
          <w:color w:val="000000"/>
          <w:sz w:val="19"/>
        </w:rPr>
        <w:t>要求：</w:t>
      </w:r>
    </w:p>
    <w:p w14:paraId="3436B6A8">
      <w:pPr>
        <w:wordWrap/>
        <w:autoSpaceDE w:val="0"/>
        <w:autoSpaceDN w:val="0"/>
        <w:spacing w:before="40" w:after="0" w:line="440" w:lineRule="atLeast"/>
        <w:ind w:left="660" w:right="480" w:firstLine="100"/>
        <w:jc w:val="both"/>
        <w:textAlignment w:val="auto"/>
        <w:rPr>
          <w:sz w:val="19"/>
        </w:rPr>
      </w:pPr>
      <w:r>
        <w:rPr>
          <w:rFonts w:ascii="宋体" w:hAnsi="宋体" w:eastAsia="宋体" w:cs="宋体"/>
          <w:b w:val="0"/>
          <w:i w:val="0"/>
          <w:color w:val="000000"/>
          <w:sz w:val="19"/>
        </w:rPr>
        <w:t>(1) 在保持目标资本结构的前提下，计算2005年投资方案所需的自有资金额和需要从外部借入的资金额。</w:t>
      </w:r>
    </w:p>
    <w:p w14:paraId="01DF92F7">
      <w:pPr>
        <w:wordWrap/>
        <w:autoSpaceDE w:val="0"/>
        <w:autoSpaceDN w:val="0"/>
        <w:spacing w:before="80" w:after="0" w:line="420" w:lineRule="atLeast"/>
        <w:ind w:left="660" w:right="480" w:firstLine="100"/>
        <w:jc w:val="both"/>
        <w:textAlignment w:val="auto"/>
        <w:rPr>
          <w:sz w:val="19"/>
        </w:rPr>
      </w:pPr>
      <w:r>
        <w:rPr>
          <w:rFonts w:ascii="宋体" w:hAnsi="宋体" w:eastAsia="宋体" w:cs="宋体"/>
          <w:b w:val="0"/>
          <w:i w:val="0"/>
          <w:color w:val="000000"/>
          <w:sz w:val="19"/>
        </w:rPr>
        <w:t>(2) 在保持目标资本结构的前提下，如果公司执行剩余股利政策。计算2004年度应分配的现金股利。</w:t>
      </w:r>
    </w:p>
    <w:p w14:paraId="3A39472A">
      <w:pPr>
        <w:wordWrap/>
        <w:autoSpaceDE w:val="0"/>
        <w:autoSpaceDN w:val="0"/>
        <w:spacing w:before="20" w:after="0" w:line="440" w:lineRule="atLeast"/>
        <w:ind w:left="680" w:right="480" w:firstLine="80"/>
        <w:jc w:val="both"/>
        <w:textAlignment w:val="auto"/>
        <w:rPr>
          <w:sz w:val="19"/>
        </w:rPr>
      </w:pPr>
      <w:r>
        <w:rPr>
          <w:rFonts w:ascii="宋体" w:hAnsi="宋体" w:eastAsia="宋体" w:cs="宋体"/>
          <w:b w:val="0"/>
          <w:i w:val="0"/>
          <w:color w:val="000000"/>
          <w:sz w:val="19"/>
        </w:rPr>
        <w:t>(3) 在不考虑目标资本结构的前提下，如果公司执行固定股利政策，计算2004年度应分配的现金股利、可用于2005年投资的留存收益和需要额外筹集的资金额。</w:t>
      </w:r>
    </w:p>
    <w:p w14:paraId="79DB8DBB">
      <w:pPr>
        <w:wordWrap/>
        <w:autoSpaceDE w:val="0"/>
        <w:autoSpaceDN w:val="0"/>
        <w:spacing w:before="20" w:after="0" w:line="460" w:lineRule="atLeast"/>
        <w:ind w:left="680" w:right="480" w:firstLine="80"/>
        <w:jc w:val="both"/>
        <w:textAlignment w:val="auto"/>
        <w:rPr>
          <w:sz w:val="19"/>
        </w:rPr>
      </w:pPr>
      <w:r>
        <w:rPr>
          <w:rFonts w:ascii="宋体" w:hAnsi="宋体" w:eastAsia="宋体" w:cs="宋体"/>
          <w:b w:val="0"/>
          <w:i w:val="0"/>
          <w:color w:val="000000"/>
          <w:sz w:val="19"/>
        </w:rPr>
        <w:t>(4)不考虑目标资本结构的前提下，如果公司执行固定股利支付政策，计算该公司的股利支付率和2004年度应分配的现金股利。</w:t>
      </w:r>
    </w:p>
    <w:p w14:paraId="1C2679EE">
      <w:pPr>
        <w:wordWrap/>
        <w:autoSpaceDE w:val="0"/>
        <w:autoSpaceDN w:val="0"/>
        <w:spacing w:before="80" w:after="0" w:line="400" w:lineRule="atLeast"/>
        <w:ind w:left="680" w:right="480" w:firstLine="80"/>
        <w:jc w:val="both"/>
        <w:textAlignment w:val="auto"/>
        <w:rPr>
          <w:sz w:val="19"/>
        </w:rPr>
      </w:pPr>
      <w:r>
        <w:rPr>
          <w:rFonts w:ascii="宋体" w:hAnsi="宋体" w:eastAsia="宋体" w:cs="宋体"/>
          <w:b w:val="0"/>
          <w:i w:val="0"/>
          <w:color w:val="000000"/>
          <w:sz w:val="19"/>
        </w:rPr>
        <w:t>(5) 假定公司2005年面临着从外部筹资的困难，只能从内部筹资，不考虑目标资本结构，计算在此情况下2004年度应分配的现金股利。</w:t>
      </w:r>
    </w:p>
    <w:p w14:paraId="78E733E8">
      <w:pPr>
        <w:wordWrap/>
        <w:autoSpaceDE w:val="0"/>
        <w:autoSpaceDN w:val="0"/>
        <w:spacing w:before="220" w:after="0" w:line="260" w:lineRule="atLeast"/>
        <w:ind w:left="760" w:right="0"/>
        <w:jc w:val="both"/>
        <w:textAlignment w:val="auto"/>
        <w:rPr>
          <w:sz w:val="19"/>
        </w:rPr>
      </w:pPr>
      <w:r>
        <w:rPr>
          <w:rFonts w:ascii="宋体" w:hAnsi="宋体" w:eastAsia="宋体" w:cs="宋体"/>
          <w:b w:val="0"/>
          <w:i w:val="0"/>
          <w:color w:val="000000"/>
          <w:sz w:val="19"/>
        </w:rPr>
        <w:t>[答案]</w:t>
      </w:r>
    </w:p>
    <w:p w14:paraId="2D997F6B">
      <w:pPr>
        <w:wordWrap/>
        <w:autoSpaceDE w:val="0"/>
        <w:autoSpaceDN w:val="0"/>
        <w:spacing w:before="220" w:after="0" w:line="260" w:lineRule="atLeast"/>
        <w:ind w:left="760" w:right="0"/>
        <w:jc w:val="both"/>
        <w:textAlignment w:val="auto"/>
        <w:rPr>
          <w:sz w:val="19"/>
        </w:rPr>
      </w:pPr>
      <w:r>
        <w:rPr>
          <w:rFonts w:ascii="宋体" w:hAnsi="宋体" w:eastAsia="宋体" w:cs="宋体"/>
          <w:b w:val="0"/>
          <w:i w:val="0"/>
          <w:color w:val="000000"/>
          <w:sz w:val="19"/>
        </w:rPr>
        <w:t>(1) 2005年投资方案所需的自有资金额=700×60%=420(万元)</w:t>
      </w:r>
    </w:p>
    <w:p w14:paraId="70CB0979">
      <w:pPr>
        <w:wordWrap/>
        <w:autoSpaceDE w:val="0"/>
        <w:autoSpaceDN w:val="0"/>
        <w:spacing w:before="220" w:after="0" w:line="260" w:lineRule="atLeast"/>
        <w:ind w:left="760" w:right="0"/>
        <w:jc w:val="both"/>
        <w:textAlignment w:val="auto"/>
        <w:rPr>
          <w:sz w:val="19"/>
        </w:rPr>
      </w:pPr>
      <w:r>
        <w:rPr>
          <w:rFonts w:ascii="宋体" w:hAnsi="宋体" w:eastAsia="宋体" w:cs="宋体"/>
          <w:b w:val="0"/>
          <w:i w:val="0"/>
          <w:color w:val="000000"/>
          <w:sz w:val="19"/>
        </w:rPr>
        <w:t>2005年投资方案所需从外部借入的资金额=700×40%=280(万元)</w:t>
      </w:r>
    </w:p>
    <w:p w14:paraId="681A7AE8">
      <w:pPr>
        <w:wordWrap/>
        <w:autoSpaceDE w:val="0"/>
        <w:autoSpaceDN w:val="0"/>
        <w:spacing w:before="160" w:after="0" w:line="260" w:lineRule="atLeast"/>
        <w:ind w:left="760" w:right="0"/>
        <w:jc w:val="both"/>
        <w:textAlignment w:val="auto"/>
        <w:rPr>
          <w:sz w:val="19"/>
        </w:rPr>
      </w:pPr>
      <w:r>
        <w:rPr>
          <w:rFonts w:ascii="宋体" w:hAnsi="宋体" w:eastAsia="宋体" w:cs="宋体"/>
          <w:b w:val="0"/>
          <w:i w:val="0"/>
          <w:color w:val="000000"/>
          <w:sz w:val="19"/>
        </w:rPr>
        <w:t>(2) 2004年度应分配的现金股利</w:t>
      </w:r>
    </w:p>
    <w:p w14:paraId="4EE214E9">
      <w:pPr>
        <w:wordWrap/>
        <w:autoSpaceDE w:val="0"/>
        <w:autoSpaceDN w:val="0"/>
        <w:spacing w:before="240" w:after="0" w:line="260" w:lineRule="atLeast"/>
        <w:ind w:left="760" w:right="0"/>
        <w:jc w:val="both"/>
        <w:textAlignment w:val="auto"/>
        <w:rPr>
          <w:sz w:val="19"/>
        </w:rPr>
      </w:pPr>
      <w:r>
        <w:rPr>
          <w:rFonts w:ascii="宋体" w:hAnsi="宋体" w:eastAsia="宋体" w:cs="宋体"/>
          <w:b w:val="0"/>
          <w:i w:val="0"/>
          <w:color w:val="000000"/>
          <w:sz w:val="19"/>
        </w:rPr>
        <w:t>=净利润-2005年投资方案所需的自有资金额</w:t>
      </w:r>
    </w:p>
    <w:p w14:paraId="621E40A4">
      <w:pPr>
        <w:wordWrap/>
        <w:autoSpaceDE w:val="0"/>
        <w:autoSpaceDN w:val="0"/>
        <w:spacing w:before="180" w:after="0" w:line="280" w:lineRule="atLeast"/>
        <w:ind w:left="760" w:right="0"/>
        <w:jc w:val="both"/>
        <w:textAlignment w:val="auto"/>
        <w:rPr>
          <w:sz w:val="19"/>
        </w:rPr>
      </w:pPr>
      <w:r>
        <w:rPr>
          <w:rFonts w:ascii="宋体" w:hAnsi="宋体" w:eastAsia="宋体" w:cs="宋体"/>
          <w:b w:val="0"/>
          <w:i w:val="0"/>
          <w:color w:val="000000"/>
          <w:sz w:val="19"/>
        </w:rPr>
        <w:t>=900-420=480(万元)</w:t>
      </w:r>
      <w:r>
        <w:br w:type="page"/>
      </w:r>
    </w:p>
    <w:p w14:paraId="52C3FF4A">
      <w:pPr>
        <w:wordWrap/>
        <w:autoSpaceDE w:val="0"/>
        <w:autoSpaceDN w:val="0"/>
        <w:spacing w:before="660" w:after="0" w:line="280" w:lineRule="atLeast"/>
        <w:ind w:left="740" w:right="0"/>
        <w:jc w:val="both"/>
        <w:textAlignment w:val="auto"/>
        <w:rPr>
          <w:sz w:val="24"/>
        </w:rPr>
      </w:pPr>
      <w:r>
        <w:rPr>
          <w:rFonts w:ascii="宋体" w:hAnsi="宋体" w:eastAsia="宋体" w:cs="宋体"/>
          <w:b w:val="0"/>
          <w:i w:val="0"/>
          <w:color w:val="000000"/>
          <w:sz w:val="19"/>
        </w:rPr>
        <w:t>(3) 2004年度应分配的现金股利=上年分配的现金股利</w:t>
      </w:r>
      <w:r>
        <w:rPr>
          <w:rFonts w:ascii="宋体" w:hAnsi="宋体" w:eastAsia="宋体" w:cs="宋体"/>
          <w:sz w:val="24"/>
        </w:rPr>
        <w:t xml:space="preserve">     </w:t>
      </w:r>
      <w:r>
        <w:rPr>
          <w:rFonts w:ascii="宋体" w:hAnsi="宋体" w:eastAsia="宋体" w:cs="宋体"/>
          <w:sz w:val="6"/>
        </w:rPr>
        <w:t xml:space="preserve"> </w:t>
      </w:r>
      <w:r>
        <w:t xml:space="preserve"> </w:t>
      </w:r>
      <m:oMath>
        <m:r>
          <m:rPr/>
          <w:rPr>
            <w:rFonts w:ascii="Cambria Math" w:hAnsi="Cambria Math"/>
            <w:sz w:val="18"/>
            <w:szCs w:val="18"/>
          </w:rPr>
          <m:t>=550</m:t>
        </m:r>
      </m:oMath>
      <w:r>
        <w:rPr>
          <w:rFonts w:ascii="宋体" w:hAnsi="宋体" w:eastAsia="宋体" w:cs="宋体"/>
          <w:b w:val="0"/>
          <w:i w:val="0"/>
          <w:color w:val="000000"/>
          <w:sz w:val="19"/>
        </w:rPr>
        <w:t>(万元)</w:t>
      </w:r>
    </w:p>
    <w:p w14:paraId="1557F604">
      <w:pPr>
        <w:wordWrap/>
        <w:autoSpaceDE w:val="0"/>
        <w:autoSpaceDN w:val="0"/>
        <w:spacing w:before="200" w:after="0" w:line="280" w:lineRule="atLeast"/>
        <w:ind w:left="740" w:right="0"/>
        <w:jc w:val="both"/>
        <w:textAlignment w:val="auto"/>
        <w:rPr>
          <w:sz w:val="24"/>
        </w:rPr>
      </w:pPr>
      <w:r>
        <w:rPr>
          <w:rFonts w:ascii="宋体" w:hAnsi="宋体" w:eastAsia="宋体" w:cs="宋体"/>
          <w:b w:val="0"/>
          <w:i w:val="0"/>
          <w:color w:val="000000"/>
          <w:sz w:val="19"/>
        </w:rPr>
        <w:t>可用于2005年投资的留存收益</w:t>
      </w:r>
      <w:r>
        <w:rPr>
          <w:rFonts w:ascii="宋体" w:hAnsi="宋体" w:eastAsia="宋体" w:cs="宋体"/>
          <w:sz w:val="24"/>
        </w:rPr>
        <w:t xml:space="preserve">   </w:t>
      </w:r>
      <w:r>
        <w:t xml:space="preserve"> </w:t>
      </w:r>
      <m:oMath>
        <m:r>
          <m:rPr/>
          <w:rPr>
            <w:rFonts w:ascii="Cambria Math" w:hAnsi="Cambria Math"/>
            <w:sz w:val="18"/>
            <w:szCs w:val="18"/>
          </w:rPr>
          <m:t>=900−550=350</m:t>
        </m:r>
      </m:oMath>
      <w:r>
        <w:rPr>
          <w:rFonts w:ascii="宋体" w:hAnsi="宋体" w:eastAsia="宋体" w:cs="宋体"/>
          <w:b w:val="0"/>
          <w:i w:val="0"/>
          <w:color w:val="000000"/>
          <w:sz w:val="19"/>
        </w:rPr>
        <w:t>(万元)</w:t>
      </w:r>
    </w:p>
    <w:p w14:paraId="58398E11">
      <w:pPr>
        <w:wordWrap/>
        <w:autoSpaceDE w:val="0"/>
        <w:autoSpaceDN w:val="0"/>
        <w:spacing w:before="180" w:after="0" w:line="280" w:lineRule="atLeast"/>
        <w:ind w:left="740" w:right="0"/>
        <w:jc w:val="both"/>
        <w:textAlignment w:val="auto"/>
        <w:rPr>
          <w:sz w:val="24"/>
        </w:rPr>
      </w:pPr>
      <w:r>
        <w:rPr>
          <w:rFonts w:ascii="宋体" w:hAnsi="宋体" w:eastAsia="宋体" w:cs="宋体"/>
          <w:b w:val="0"/>
          <w:i w:val="0"/>
          <w:color w:val="000000"/>
          <w:sz w:val="19"/>
        </w:rPr>
        <w:t>2005年投资需要额外筹集的资金额=</w:t>
      </w:r>
      <w:r>
        <w:rPr>
          <w:rFonts w:ascii="宋体" w:hAnsi="宋体" w:eastAsia="宋体" w:cs="宋体"/>
          <w:sz w:val="24"/>
        </w:rPr>
        <w:t xml:space="preserve">  </w:t>
      </w:r>
      <w:r>
        <w:rPr>
          <w:rFonts w:ascii="宋体" w:hAnsi="宋体" w:eastAsia="宋体" w:cs="宋体"/>
          <w:sz w:val="6"/>
        </w:rPr>
        <w:t xml:space="preserve">  </w:t>
      </w:r>
      <w:r>
        <w:t xml:space="preserve"> </w:t>
      </w:r>
      <m:oMath>
        <m:r>
          <m:rPr/>
          <w:rPr>
            <w:rFonts w:ascii="Cambria Math" w:hAnsi="Cambria Math"/>
            <w:sz w:val="18"/>
            <w:szCs w:val="18"/>
          </w:rPr>
          <m:t>=700−350=350</m:t>
        </m:r>
      </m:oMath>
      <w:r>
        <w:rPr>
          <w:rFonts w:ascii="宋体" w:hAnsi="宋体" w:eastAsia="宋体" w:cs="宋体"/>
          <w:b w:val="0"/>
          <w:i w:val="0"/>
          <w:color w:val="000000"/>
          <w:sz w:val="19"/>
        </w:rPr>
        <w:t>(万元)</w:t>
      </w:r>
    </w:p>
    <w:p w14:paraId="573E735E">
      <w:pPr>
        <w:wordWrap/>
        <w:autoSpaceDE w:val="0"/>
        <w:autoSpaceDN w:val="0"/>
        <w:spacing w:before="200" w:after="0" w:line="260" w:lineRule="atLeast"/>
        <w:ind w:left="740" w:right="0"/>
        <w:jc w:val="both"/>
        <w:textAlignment w:val="auto"/>
        <w:rPr>
          <w:sz w:val="19"/>
        </w:rPr>
      </w:pPr>
      <w:r>
        <w:rPr>
          <w:rFonts w:ascii="宋体" w:hAnsi="宋体" w:eastAsia="宋体" w:cs="宋体"/>
          <w:b w:val="0"/>
          <w:i w:val="0"/>
          <w:color w:val="000000"/>
          <w:sz w:val="19"/>
        </w:rPr>
        <w:t>(4) 该公司的股利支付率=550/1000×100%=55%</w:t>
      </w:r>
    </w:p>
    <w:p w14:paraId="242F9836">
      <w:pPr>
        <w:wordWrap/>
        <w:autoSpaceDE w:val="0"/>
        <w:autoSpaceDN w:val="0"/>
        <w:spacing w:before="200" w:after="0" w:line="280" w:lineRule="atLeast"/>
        <w:ind w:left="740" w:right="0"/>
        <w:jc w:val="both"/>
        <w:textAlignment w:val="auto"/>
        <w:rPr>
          <w:sz w:val="24"/>
        </w:rPr>
      </w:pPr>
      <w:r>
        <w:rPr>
          <w:rFonts w:ascii="宋体" w:hAnsi="宋体" w:eastAsia="宋体" w:cs="宋体"/>
          <w:b w:val="0"/>
          <w:i w:val="0"/>
          <w:color w:val="000000"/>
          <w:sz w:val="19"/>
        </w:rPr>
        <w:t>2004年度应分配的现金股利</w:t>
      </w:r>
      <w:r>
        <w:rPr>
          <w:rFonts w:ascii="宋体" w:hAnsi="宋体" w:eastAsia="宋体" w:cs="宋体"/>
          <w:sz w:val="24"/>
        </w:rPr>
        <w:t xml:space="preserve">  </w:t>
      </w:r>
      <w:r>
        <w:rPr>
          <w:rFonts w:ascii="宋体" w:hAnsi="宋体" w:eastAsia="宋体" w:cs="宋体"/>
          <w:sz w:val="6"/>
        </w:rPr>
        <w:t xml:space="preserve">   </w:t>
      </w:r>
      <w:r>
        <w:t xml:space="preserve"> </w:t>
      </w:r>
      <m:oMath>
        <m:r>
          <m:rPr/>
          <w:rPr>
            <w:rFonts w:ascii="Cambria Math" w:hAnsi="Cambria Math"/>
            <w:sz w:val="18"/>
            <w:szCs w:val="18"/>
          </w:rPr>
          <m:t>=55</m:t>
        </m:r>
      </m:oMath>
      <w:r>
        <w:rPr>
          <w:rFonts w:ascii="宋体" w:hAnsi="宋体" w:eastAsia="宋体" w:cs="宋体"/>
          <w:b w:val="0"/>
          <w:i w:val="0"/>
          <w:color w:val="000000"/>
          <w:sz w:val="19"/>
        </w:rPr>
        <w:t>(万元)</w:t>
      </w:r>
    </w:p>
    <w:p w14:paraId="09D1F9CA">
      <w:pPr>
        <w:wordWrap/>
        <w:autoSpaceDE w:val="0"/>
        <w:autoSpaceDN w:val="0"/>
        <w:spacing w:before="40" w:after="0" w:line="430" w:lineRule="atLeast"/>
        <w:ind w:left="680" w:right="460" w:firstLine="60"/>
        <w:jc w:val="both"/>
        <w:textAlignment w:val="auto"/>
        <w:rPr>
          <w:sz w:val="19"/>
        </w:rPr>
      </w:pPr>
      <w:r>
        <w:rPr>
          <w:rFonts w:ascii="宋体" w:hAnsi="宋体" w:eastAsia="宋体" w:cs="宋体"/>
          <w:b w:val="0"/>
          <w:i w:val="0"/>
          <w:color w:val="000000"/>
          <w:sz w:val="19"/>
        </w:rPr>
        <w:t>(5)因为公司只能从内部筹资，所以05年的投资需要从04年的净利润中留存700万元，所以2004年度应分配的现金股利=900-700=200(万元)</w:t>
      </w:r>
    </w:p>
    <w:p w14:paraId="304DDC3C">
      <w:pPr>
        <w:wordWrap/>
        <w:autoSpaceDE w:val="0"/>
        <w:autoSpaceDN w:val="0"/>
        <w:spacing w:before="220" w:after="0" w:line="260" w:lineRule="atLeast"/>
        <w:ind w:left="4460" w:right="0"/>
        <w:jc w:val="both"/>
        <w:textAlignment w:val="auto"/>
        <w:rPr>
          <w:sz w:val="16"/>
        </w:rPr>
      </w:pPr>
      <w:r>
        <w:rPr>
          <w:rFonts w:ascii="宋体" w:hAnsi="宋体" w:eastAsia="宋体" w:cs="宋体"/>
          <w:b/>
          <w:i w:val="0"/>
          <w:color w:val="000000"/>
          <w:sz w:val="16"/>
        </w:rPr>
        <w:t>五、综合题</w:t>
      </w:r>
    </w:p>
    <w:p w14:paraId="59CF4591">
      <w:pPr>
        <w:wordWrap/>
        <w:autoSpaceDE w:val="0"/>
        <w:autoSpaceDN w:val="0"/>
        <w:spacing w:before="200" w:after="0" w:line="280" w:lineRule="atLeast"/>
        <w:ind w:left="280" w:right="0"/>
        <w:jc w:val="both"/>
        <w:textAlignment w:val="auto"/>
        <w:rPr>
          <w:sz w:val="19"/>
        </w:rPr>
      </w:pPr>
      <w:r>
        <w:rPr>
          <w:rFonts w:ascii="宋体" w:hAnsi="宋体" w:eastAsia="宋体" w:cs="宋体"/>
          <w:b w:val="0"/>
          <w:i w:val="0"/>
          <w:color w:val="000000"/>
          <w:sz w:val="19"/>
        </w:rPr>
        <w:t>1.某企业2004年12月31日的资产负债表(简表) 如下：</w:t>
      </w:r>
    </w:p>
    <w:p w14:paraId="32E528C9">
      <w:pPr>
        <w:wordWrap/>
        <w:autoSpaceDE w:val="0"/>
        <w:autoSpaceDN w:val="0"/>
        <w:spacing w:before="160" w:after="0" w:line="280" w:lineRule="atLeast"/>
        <w:ind w:left="280" w:right="0"/>
        <w:jc w:val="both"/>
        <w:textAlignment w:val="auto"/>
        <w:rPr>
          <w:sz w:val="19"/>
        </w:rPr>
      </w:pPr>
      <w:r>
        <w:rPr>
          <w:rFonts w:ascii="宋体" w:hAnsi="宋体" w:eastAsia="宋体" w:cs="宋体"/>
          <w:b w:val="0"/>
          <w:i w:val="0"/>
          <w:color w:val="000000"/>
          <w:sz w:val="19"/>
        </w:rPr>
        <w:t>资产负债表(简表)</w:t>
      </w:r>
    </w:p>
    <w:p w14:paraId="2D68CA70">
      <w:pPr>
        <w:wordWrap/>
        <w:autoSpaceDE w:val="0"/>
        <w:autoSpaceDN w:val="0"/>
        <w:spacing w:before="200" w:after="0" w:line="280" w:lineRule="atLeast"/>
        <w:ind w:left="280" w:right="0"/>
        <w:jc w:val="both"/>
        <w:textAlignment w:val="auto"/>
        <w:rPr>
          <w:sz w:val="19"/>
        </w:rPr>
      </w:pPr>
      <w:r>
        <w:rPr>
          <w:rFonts w:ascii="宋体" w:hAnsi="宋体" w:eastAsia="宋体" w:cs="宋体"/>
          <w:b w:val="0"/>
          <w:i w:val="0"/>
          <w:color w:val="000000"/>
          <w:sz w:val="19"/>
        </w:rPr>
        <w:t>2004年12月31日单位: 万元</w:t>
      </w:r>
    </w:p>
    <w:p w14:paraId="3E36904C">
      <w:pPr>
        <w:wordWrap/>
        <w:spacing w:before="0" w:after="0" w:line="200" w:lineRule="exact"/>
        <w:ind w:left="0" w:right="0"/>
        <w:textAlignment w:val="auto"/>
      </w:pPr>
    </w:p>
    <w:tbl>
      <w:tblPr>
        <w:tblStyle w:val="2"/>
        <w:tblW w:w="0" w:type="auto"/>
        <w:tblInd w:w="28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2080"/>
        <w:gridCol w:w="2220"/>
        <w:gridCol w:w="2320"/>
        <w:gridCol w:w="1940"/>
      </w:tblGrid>
      <w:tr w14:paraId="260631E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20" w:hRule="atLeast"/>
        </w:trPr>
        <w:tc>
          <w:tcPr>
            <w:tcW w:w="2080" w:type="dxa"/>
            <w:vAlign w:val="center"/>
          </w:tcPr>
          <w:p w14:paraId="6C007973">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资产</w:t>
            </w:r>
          </w:p>
        </w:tc>
        <w:tc>
          <w:tcPr>
            <w:tcW w:w="2220" w:type="dxa"/>
            <w:vAlign w:val="center"/>
          </w:tcPr>
          <w:p w14:paraId="0D1499FA">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期末数</w:t>
            </w:r>
          </w:p>
        </w:tc>
        <w:tc>
          <w:tcPr>
            <w:tcW w:w="2320" w:type="dxa"/>
            <w:vAlign w:val="center"/>
          </w:tcPr>
          <w:p w14:paraId="6A12AD6A">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负债及所有者权益</w:t>
            </w:r>
          </w:p>
        </w:tc>
        <w:tc>
          <w:tcPr>
            <w:tcW w:w="1940" w:type="dxa"/>
            <w:vAlign w:val="center"/>
          </w:tcPr>
          <w:p w14:paraId="08A0272B">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期末数</w:t>
            </w:r>
          </w:p>
        </w:tc>
      </w:tr>
      <w:tr w14:paraId="4EA22E4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40" w:hRule="atLeast"/>
        </w:trPr>
        <w:tc>
          <w:tcPr>
            <w:tcW w:w="2080" w:type="dxa"/>
            <w:vAlign w:val="center"/>
          </w:tcPr>
          <w:p w14:paraId="2A3A31C9">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货币资金</w:t>
            </w:r>
          </w:p>
        </w:tc>
        <w:tc>
          <w:tcPr>
            <w:tcW w:w="2220" w:type="dxa"/>
            <w:vAlign w:val="center"/>
          </w:tcPr>
          <w:p w14:paraId="423B3C70">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300</w:t>
            </w:r>
          </w:p>
        </w:tc>
        <w:tc>
          <w:tcPr>
            <w:tcW w:w="2320" w:type="dxa"/>
            <w:vAlign w:val="center"/>
          </w:tcPr>
          <w:p w14:paraId="431AB7C7">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应付账款</w:t>
            </w:r>
          </w:p>
        </w:tc>
        <w:tc>
          <w:tcPr>
            <w:tcW w:w="1940" w:type="dxa"/>
            <w:vAlign w:val="center"/>
          </w:tcPr>
          <w:p w14:paraId="678F4456">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300</w:t>
            </w:r>
          </w:p>
        </w:tc>
      </w:tr>
      <w:tr w14:paraId="2553D0E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60" w:hRule="atLeast"/>
        </w:trPr>
        <w:tc>
          <w:tcPr>
            <w:tcW w:w="2080" w:type="dxa"/>
            <w:vAlign w:val="center"/>
          </w:tcPr>
          <w:p w14:paraId="14F7F527">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应收账款净额</w:t>
            </w:r>
          </w:p>
        </w:tc>
        <w:tc>
          <w:tcPr>
            <w:tcW w:w="2220" w:type="dxa"/>
            <w:vAlign w:val="center"/>
          </w:tcPr>
          <w:p w14:paraId="101A8B55">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900</w:t>
            </w:r>
          </w:p>
        </w:tc>
        <w:tc>
          <w:tcPr>
            <w:tcW w:w="2320" w:type="dxa"/>
            <w:vAlign w:val="center"/>
          </w:tcPr>
          <w:p w14:paraId="5128C7C6">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应付票据</w:t>
            </w:r>
          </w:p>
        </w:tc>
        <w:tc>
          <w:tcPr>
            <w:tcW w:w="1940" w:type="dxa"/>
            <w:vAlign w:val="center"/>
          </w:tcPr>
          <w:p w14:paraId="13BFECC2">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600</w:t>
            </w:r>
          </w:p>
        </w:tc>
      </w:tr>
      <w:tr w14:paraId="45752CE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40" w:hRule="atLeast"/>
        </w:trPr>
        <w:tc>
          <w:tcPr>
            <w:tcW w:w="2080" w:type="dxa"/>
            <w:vAlign w:val="center"/>
          </w:tcPr>
          <w:p w14:paraId="0B1CBE4D">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存货</w:t>
            </w:r>
          </w:p>
        </w:tc>
        <w:tc>
          <w:tcPr>
            <w:tcW w:w="2220" w:type="dxa"/>
            <w:vAlign w:val="center"/>
          </w:tcPr>
          <w:p w14:paraId="57265B72">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1800</w:t>
            </w:r>
          </w:p>
        </w:tc>
        <w:tc>
          <w:tcPr>
            <w:tcW w:w="2320" w:type="dxa"/>
            <w:vAlign w:val="center"/>
          </w:tcPr>
          <w:p w14:paraId="1D14F9D8">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长期借款</w:t>
            </w:r>
          </w:p>
        </w:tc>
        <w:tc>
          <w:tcPr>
            <w:tcW w:w="1940" w:type="dxa"/>
            <w:vAlign w:val="center"/>
          </w:tcPr>
          <w:p w14:paraId="31B881BA">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2700</w:t>
            </w:r>
          </w:p>
        </w:tc>
      </w:tr>
      <w:tr w14:paraId="4A30B68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60" w:hRule="atLeast"/>
        </w:trPr>
        <w:tc>
          <w:tcPr>
            <w:tcW w:w="2080" w:type="dxa"/>
            <w:vAlign w:val="center"/>
          </w:tcPr>
          <w:p w14:paraId="28F408E4">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固定资产净值</w:t>
            </w:r>
          </w:p>
        </w:tc>
        <w:tc>
          <w:tcPr>
            <w:tcW w:w="2220" w:type="dxa"/>
            <w:vAlign w:val="center"/>
          </w:tcPr>
          <w:p w14:paraId="1B40C414">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2100</w:t>
            </w:r>
          </w:p>
        </w:tc>
        <w:tc>
          <w:tcPr>
            <w:tcW w:w="2320" w:type="dxa"/>
            <w:vAlign w:val="center"/>
          </w:tcPr>
          <w:p w14:paraId="4811CA51">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实收资本</w:t>
            </w:r>
          </w:p>
        </w:tc>
        <w:tc>
          <w:tcPr>
            <w:tcW w:w="1940" w:type="dxa"/>
            <w:vAlign w:val="center"/>
          </w:tcPr>
          <w:p w14:paraId="7BE6F851">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1200</w:t>
            </w:r>
          </w:p>
        </w:tc>
      </w:tr>
      <w:tr w14:paraId="608BB06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80" w:hRule="atLeast"/>
        </w:trPr>
        <w:tc>
          <w:tcPr>
            <w:tcW w:w="2080" w:type="dxa"/>
            <w:vAlign w:val="center"/>
          </w:tcPr>
          <w:p w14:paraId="06858F87">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无形资产</w:t>
            </w:r>
          </w:p>
        </w:tc>
        <w:tc>
          <w:tcPr>
            <w:tcW w:w="2220" w:type="dxa"/>
            <w:vAlign w:val="center"/>
          </w:tcPr>
          <w:p w14:paraId="0651654B">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300</w:t>
            </w:r>
          </w:p>
        </w:tc>
        <w:tc>
          <w:tcPr>
            <w:tcW w:w="2320" w:type="dxa"/>
            <w:vAlign w:val="center"/>
          </w:tcPr>
          <w:p w14:paraId="3744F0AA">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留存收益</w:t>
            </w:r>
          </w:p>
        </w:tc>
        <w:tc>
          <w:tcPr>
            <w:tcW w:w="1940" w:type="dxa"/>
            <w:vAlign w:val="center"/>
          </w:tcPr>
          <w:p w14:paraId="1A613973">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600</w:t>
            </w:r>
          </w:p>
        </w:tc>
      </w:tr>
      <w:tr w14:paraId="62C544E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40" w:hRule="atLeast"/>
        </w:trPr>
        <w:tc>
          <w:tcPr>
            <w:tcW w:w="2080" w:type="dxa"/>
            <w:vAlign w:val="center"/>
          </w:tcPr>
          <w:p w14:paraId="49780609">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资产总计</w:t>
            </w:r>
          </w:p>
        </w:tc>
        <w:tc>
          <w:tcPr>
            <w:tcW w:w="2220" w:type="dxa"/>
            <w:vAlign w:val="center"/>
          </w:tcPr>
          <w:p w14:paraId="2768B950">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5400</w:t>
            </w:r>
          </w:p>
        </w:tc>
        <w:tc>
          <w:tcPr>
            <w:tcW w:w="2320" w:type="dxa"/>
            <w:vAlign w:val="center"/>
          </w:tcPr>
          <w:p w14:paraId="14477AE9">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负债及所有者权益总计</w:t>
            </w:r>
          </w:p>
        </w:tc>
        <w:tc>
          <w:tcPr>
            <w:tcW w:w="1940" w:type="dxa"/>
            <w:vAlign w:val="center"/>
          </w:tcPr>
          <w:p w14:paraId="12A89A79">
            <w:pPr>
              <w:wordWrap/>
              <w:autoSpaceDE w:val="0"/>
              <w:autoSpaceDN w:val="0"/>
              <w:spacing w:before="0" w:after="0" w:line="340" w:lineRule="atLeast"/>
              <w:ind w:left="0" w:right="0"/>
              <w:jc w:val="both"/>
              <w:textAlignment w:val="auto"/>
              <w:rPr>
                <w:sz w:val="22"/>
              </w:rPr>
            </w:pPr>
            <w:r>
              <w:rPr>
                <w:rFonts w:ascii="宋体" w:hAnsi="宋体" w:eastAsia="宋体" w:cs="宋体"/>
                <w:b w:val="0"/>
                <w:i w:val="0"/>
                <w:color w:val="000000"/>
                <w:sz w:val="22"/>
              </w:rPr>
              <w:t>5400</w:t>
            </w:r>
          </w:p>
        </w:tc>
      </w:tr>
    </w:tbl>
    <w:p w14:paraId="7689C971">
      <w:pPr>
        <w:wordWrap/>
        <w:autoSpaceDE w:val="0"/>
        <w:autoSpaceDN w:val="0"/>
        <w:spacing w:before="440" w:after="0" w:line="436" w:lineRule="atLeast"/>
        <w:ind w:left="260" w:right="460" w:firstLine="20"/>
        <w:jc w:val="both"/>
        <w:textAlignment w:val="auto"/>
        <w:rPr>
          <w:sz w:val="19"/>
        </w:rPr>
      </w:pPr>
      <w:r>
        <w:rPr>
          <w:rFonts w:ascii="宋体" w:hAnsi="宋体" w:eastAsia="宋体" w:cs="宋体"/>
          <w:b w:val="0"/>
          <w:i w:val="0"/>
          <w:color w:val="000000"/>
          <w:sz w:val="19"/>
        </w:rPr>
        <w:t>该企业2004年的主营业务收入净额为6000万元，主营业务净利率为10%，净利润的50%分配给投资者。预计2005年主营业务收入净额比上年增长25%，为此需要增加固定资产200万元，增加无形资产100万元，根据有关情况分析，企业流动资产项目和流动负债项目将随主营业务收入同比例增减。假定该企业2005年的主营业务净利率和利润分配政策与上年保持一致，该年度长期借款不发生变化；2005年年末固定资产净值和无形资产合计为 2700万</w:t>
      </w:r>
    </w:p>
    <w:p w14:paraId="7E1C62CD">
      <w:pPr>
        <w:wordWrap/>
        <w:autoSpaceDE w:val="0"/>
        <w:autoSpaceDN w:val="0"/>
        <w:spacing w:before="200" w:after="0" w:line="260" w:lineRule="atLeast"/>
        <w:ind w:left="280" w:right="0"/>
        <w:jc w:val="both"/>
        <w:textAlignment w:val="auto"/>
        <w:rPr>
          <w:sz w:val="19"/>
        </w:rPr>
      </w:pPr>
      <w:r>
        <w:rPr>
          <w:rFonts w:ascii="宋体" w:hAnsi="宋体" w:eastAsia="宋体" w:cs="宋体"/>
          <w:b w:val="0"/>
          <w:i w:val="0"/>
          <w:color w:val="000000"/>
          <w:sz w:val="19"/>
        </w:rPr>
        <w:t>元。2005年企业需要增加对外筹集的资金由投资者增加投入解决。</w:t>
      </w:r>
    </w:p>
    <w:p w14:paraId="2A2011BB">
      <w:pPr>
        <w:wordWrap/>
        <w:autoSpaceDE w:val="0"/>
        <w:autoSpaceDN w:val="0"/>
        <w:spacing w:before="200" w:after="0" w:line="280" w:lineRule="atLeast"/>
        <w:ind w:left="740" w:right="0"/>
        <w:jc w:val="both"/>
        <w:textAlignment w:val="auto"/>
        <w:rPr>
          <w:sz w:val="19"/>
        </w:rPr>
      </w:pPr>
      <w:r>
        <w:rPr>
          <w:rFonts w:ascii="宋体" w:hAnsi="宋体" w:eastAsia="宋体" w:cs="宋体"/>
          <w:b w:val="0"/>
          <w:i w:val="0"/>
          <w:color w:val="000000"/>
          <w:sz w:val="19"/>
        </w:rPr>
        <w:t>要求：</w:t>
      </w:r>
    </w:p>
    <w:p w14:paraId="6BFB50C0">
      <w:pPr>
        <w:wordWrap/>
        <w:autoSpaceDE w:val="0"/>
        <w:autoSpaceDN w:val="0"/>
        <w:spacing w:before="200" w:after="0" w:line="260" w:lineRule="atLeast"/>
        <w:ind w:left="740" w:right="0"/>
        <w:jc w:val="both"/>
        <w:textAlignment w:val="auto"/>
        <w:rPr>
          <w:sz w:val="19"/>
        </w:rPr>
      </w:pPr>
      <w:r>
        <w:rPr>
          <w:rFonts w:ascii="宋体" w:hAnsi="宋体" w:eastAsia="宋体" w:cs="宋体"/>
          <w:b w:val="0"/>
          <w:i w:val="0"/>
          <w:color w:val="000000"/>
          <w:sz w:val="19"/>
        </w:rPr>
        <w:t>(1) 计算2005年需要增加的营运资金额。</w:t>
      </w:r>
    </w:p>
    <w:p w14:paraId="7D7A1C80">
      <w:pPr>
        <w:wordWrap/>
        <w:autoSpaceDE w:val="0"/>
        <w:autoSpaceDN w:val="0"/>
        <w:spacing w:before="20" w:after="0" w:line="440" w:lineRule="atLeast"/>
        <w:ind w:left="660" w:right="500" w:firstLine="80"/>
        <w:jc w:val="both"/>
        <w:textAlignment w:val="auto"/>
        <w:rPr>
          <w:sz w:val="19"/>
        </w:rPr>
      </w:pPr>
      <w:r>
        <w:rPr>
          <w:rFonts w:ascii="宋体" w:hAnsi="宋体" w:eastAsia="宋体" w:cs="宋体"/>
          <w:b w:val="0"/>
          <w:i w:val="0"/>
          <w:color w:val="000000"/>
          <w:sz w:val="19"/>
        </w:rPr>
        <w:t>(2) 预测2005年需要增加对外筹集的资金额(不考虑计提法定盈余公积的因素；以前年度的留存收益均已有指定用途)。</w:t>
      </w:r>
    </w:p>
    <w:p w14:paraId="5431DEA3">
      <w:pPr>
        <w:wordWrap/>
        <w:autoSpaceDE w:val="0"/>
        <w:autoSpaceDN w:val="0"/>
        <w:spacing w:before="620" w:after="0" w:line="260" w:lineRule="atLeast"/>
        <w:ind w:left="7020" w:right="0"/>
        <w:jc w:val="both"/>
        <w:textAlignment w:val="auto"/>
        <w:rPr>
          <w:sz w:val="19"/>
        </w:rPr>
      </w:pPr>
      <w:r>
        <w:rPr>
          <w:rFonts w:ascii="宋体" w:hAnsi="宋体" w:eastAsia="宋体" w:cs="宋体"/>
          <w:b w:val="0"/>
          <w:i w:val="0"/>
          <w:color w:val="000000"/>
          <w:sz w:val="19"/>
        </w:rPr>
        <w:t>凡师傅旗舰店fanshifu.tmall.com</w:t>
      </w:r>
      <w:r>
        <w:br w:type="page"/>
      </w:r>
    </w:p>
    <w:p w14:paraId="0899ED1A">
      <w:pPr>
        <w:wordWrap/>
        <w:autoSpaceDE w:val="0"/>
        <w:autoSpaceDN w:val="0"/>
        <w:spacing w:before="660" w:after="0" w:line="260" w:lineRule="atLeast"/>
        <w:ind w:left="740" w:right="0"/>
        <w:jc w:val="both"/>
        <w:textAlignment w:val="auto"/>
        <w:rPr>
          <w:sz w:val="18"/>
        </w:rPr>
      </w:pPr>
      <w:r>
        <w:rPr>
          <w:rFonts w:ascii="宋体" w:hAnsi="宋体" w:eastAsia="宋体" w:cs="宋体"/>
          <w:b w:val="0"/>
          <w:i w:val="0"/>
          <w:color w:val="000000"/>
          <w:sz w:val="18"/>
        </w:rPr>
        <w:t>(3) 预测2005年末的流动资产额、流动负债额、资产总额、负债总额和所有者权益总额。</w:t>
      </w:r>
    </w:p>
    <w:p w14:paraId="273E1133">
      <w:pPr>
        <w:wordWrap/>
        <w:autoSpaceDE w:val="0"/>
        <w:autoSpaceDN w:val="0"/>
        <w:spacing w:before="240" w:after="0" w:line="260" w:lineRule="atLeast"/>
        <w:ind w:left="740" w:right="0"/>
        <w:jc w:val="both"/>
        <w:textAlignment w:val="auto"/>
        <w:rPr>
          <w:sz w:val="18"/>
        </w:rPr>
      </w:pPr>
      <w:r>
        <w:rPr>
          <w:rFonts w:ascii="宋体" w:hAnsi="宋体" w:eastAsia="宋体" w:cs="宋体"/>
          <w:b w:val="0"/>
          <w:i w:val="0"/>
          <w:color w:val="000000"/>
          <w:sz w:val="18"/>
        </w:rPr>
        <w:t>(4) 预测2005年的速动比率和产权比率。</w:t>
      </w:r>
    </w:p>
    <w:p w14:paraId="010B4025">
      <w:pPr>
        <w:wordWrap/>
        <w:autoSpaceDE w:val="0"/>
        <w:autoSpaceDN w:val="0"/>
        <w:spacing w:before="180" w:after="0" w:line="260" w:lineRule="atLeast"/>
        <w:ind w:left="740" w:right="0"/>
        <w:jc w:val="both"/>
        <w:textAlignment w:val="auto"/>
        <w:rPr>
          <w:sz w:val="18"/>
        </w:rPr>
      </w:pPr>
      <w:r>
        <w:rPr>
          <w:rFonts w:ascii="宋体" w:hAnsi="宋体" w:eastAsia="宋体" w:cs="宋体"/>
          <w:b w:val="0"/>
          <w:i w:val="0"/>
          <w:color w:val="000000"/>
          <w:sz w:val="18"/>
        </w:rPr>
        <w:t>(5)预测2005年的流动资产周转次数和总资产周转次数。</w:t>
      </w:r>
    </w:p>
    <w:p w14:paraId="3950BE73">
      <w:pPr>
        <w:wordWrap/>
        <w:autoSpaceDE w:val="0"/>
        <w:autoSpaceDN w:val="0"/>
        <w:spacing w:before="200" w:after="0" w:line="260" w:lineRule="atLeast"/>
        <w:ind w:left="740" w:right="0"/>
        <w:jc w:val="both"/>
        <w:textAlignment w:val="auto"/>
        <w:rPr>
          <w:sz w:val="18"/>
        </w:rPr>
      </w:pPr>
      <w:r>
        <w:rPr>
          <w:rFonts w:ascii="宋体" w:hAnsi="宋体" w:eastAsia="宋体" w:cs="宋体"/>
          <w:b w:val="0"/>
          <w:i w:val="0"/>
          <w:color w:val="000000"/>
          <w:sz w:val="18"/>
        </w:rPr>
        <w:t>(6) 预测2005年的净资产收益率。</w:t>
      </w:r>
    </w:p>
    <w:p w14:paraId="1415EEE0">
      <w:pPr>
        <w:wordWrap/>
        <w:autoSpaceDE w:val="0"/>
        <w:autoSpaceDN w:val="0"/>
        <w:spacing w:before="220" w:after="0" w:line="260" w:lineRule="atLeast"/>
        <w:ind w:left="740" w:right="0"/>
        <w:jc w:val="both"/>
        <w:textAlignment w:val="auto"/>
        <w:rPr>
          <w:sz w:val="18"/>
        </w:rPr>
      </w:pPr>
      <w:r>
        <w:rPr>
          <w:rFonts w:ascii="宋体" w:hAnsi="宋体" w:eastAsia="宋体" w:cs="宋体"/>
          <w:b w:val="0"/>
          <w:i w:val="0"/>
          <w:color w:val="000000"/>
          <w:sz w:val="18"/>
        </w:rPr>
        <w:t>(7) 预测2005年的资本积累率和总资产增长率。</w:t>
      </w:r>
    </w:p>
    <w:p w14:paraId="0D974D84">
      <w:pPr>
        <w:wordWrap/>
        <w:autoSpaceDE w:val="0"/>
        <w:autoSpaceDN w:val="0"/>
        <w:spacing w:before="240" w:after="0" w:line="260" w:lineRule="atLeast"/>
        <w:ind w:left="740" w:right="0"/>
        <w:jc w:val="both"/>
        <w:textAlignment w:val="auto"/>
        <w:rPr>
          <w:sz w:val="18"/>
        </w:rPr>
      </w:pPr>
      <w:r>
        <w:rPr>
          <w:rFonts w:ascii="宋体" w:hAnsi="宋体" w:eastAsia="宋体" w:cs="宋体"/>
          <w:b w:val="0"/>
          <w:i w:val="0"/>
          <w:color w:val="000000"/>
          <w:sz w:val="18"/>
        </w:rPr>
        <w:t>[答案]</w:t>
      </w:r>
    </w:p>
    <w:p w14:paraId="770858E0">
      <w:pPr>
        <w:wordWrap/>
        <w:autoSpaceDE w:val="0"/>
        <w:autoSpaceDN w:val="0"/>
        <w:spacing w:before="180" w:after="0" w:line="260" w:lineRule="atLeast"/>
        <w:ind w:left="740" w:right="0"/>
        <w:jc w:val="both"/>
        <w:textAlignment w:val="auto"/>
        <w:rPr>
          <w:sz w:val="18"/>
        </w:rPr>
      </w:pPr>
      <w:r>
        <w:rPr>
          <w:rFonts w:ascii="宋体" w:hAnsi="宋体" w:eastAsia="宋体" w:cs="宋体"/>
          <w:b w:val="0"/>
          <w:i w:val="0"/>
          <w:color w:val="000000"/>
          <w:sz w:val="18"/>
        </w:rPr>
        <w:t>(1) 变动资产销售百分比= (300+900+1800) /6000=50%</w:t>
      </w:r>
    </w:p>
    <w:p w14:paraId="3A99903F">
      <w:pPr>
        <w:wordWrap/>
        <w:autoSpaceDE w:val="0"/>
        <w:autoSpaceDN w:val="0"/>
        <w:spacing w:before="220" w:after="0" w:line="260" w:lineRule="atLeast"/>
        <w:ind w:left="740" w:right="0"/>
        <w:jc w:val="both"/>
        <w:textAlignment w:val="auto"/>
        <w:rPr>
          <w:sz w:val="18"/>
        </w:rPr>
      </w:pPr>
      <w:r>
        <w:rPr>
          <w:rFonts w:ascii="宋体" w:hAnsi="宋体" w:eastAsia="宋体" w:cs="宋体"/>
          <w:b w:val="0"/>
          <w:i w:val="0"/>
          <w:color w:val="000000"/>
          <w:sz w:val="18"/>
        </w:rPr>
        <w:t>变动负债销售百分比= (300+600) /6000=15%</w:t>
      </w:r>
    </w:p>
    <w:p w14:paraId="650D1B20">
      <w:pPr>
        <w:wordWrap/>
        <w:autoSpaceDE w:val="0"/>
        <w:autoSpaceDN w:val="0"/>
        <w:spacing w:before="200" w:after="0" w:line="260" w:lineRule="atLeast"/>
        <w:ind w:left="740" w:right="0"/>
        <w:jc w:val="both"/>
        <w:textAlignment w:val="auto"/>
        <w:rPr>
          <w:sz w:val="18"/>
        </w:rPr>
      </w:pPr>
      <w:r>
        <w:rPr>
          <w:rFonts w:ascii="宋体" w:hAnsi="宋体" w:eastAsia="宋体" w:cs="宋体"/>
          <w:b w:val="0"/>
          <w:i w:val="0"/>
          <w:color w:val="000000"/>
          <w:sz w:val="18"/>
        </w:rPr>
        <w:t>2005年需要增加的营运资金额=6000×25%×(50%-15%)=525(万元)</w:t>
      </w:r>
    </w:p>
    <w:p w14:paraId="4B1D205B">
      <w:pPr>
        <w:wordWrap/>
        <w:autoSpaceDE w:val="0"/>
        <w:autoSpaceDN w:val="0"/>
        <w:spacing w:before="20" w:after="0" w:line="440" w:lineRule="atLeast"/>
        <w:ind w:left="660" w:right="520" w:firstLine="80"/>
        <w:jc w:val="both"/>
        <w:textAlignment w:val="auto"/>
        <w:rPr>
          <w:sz w:val="24"/>
        </w:rPr>
      </w:pPr>
      <w:r>
        <w:rPr>
          <w:rFonts w:ascii="宋体" w:hAnsi="宋体" w:eastAsia="宋体" w:cs="宋体"/>
          <w:b w:val="0"/>
          <w:i w:val="0"/>
          <w:color w:val="000000"/>
          <w:sz w:val="18"/>
        </w:rPr>
        <w:t>(2)2005年需要增加对外筹集的资金额=</w:t>
      </w:r>
      <w:r>
        <w:rPr>
          <w:rFonts w:ascii="宋体" w:hAnsi="宋体" w:eastAsia="宋体" w:cs="宋体"/>
          <w:sz w:val="24"/>
        </w:rPr>
        <w:t xml:space="preserve">      </w:t>
      </w:r>
      <w:r>
        <w:rPr>
          <w:rFonts w:ascii="宋体" w:hAnsi="宋体" w:eastAsia="宋体" w:cs="宋体"/>
          <w:sz w:val="6"/>
        </w:rPr>
        <w:t xml:space="preserve"> </w:t>
      </w:r>
      <w:r>
        <w:t xml:space="preserve"> </w:t>
      </w:r>
      <m:oMath>
        <m:r>
          <m:rPr/>
          <w:rPr>
            <w:rFonts w:ascii="Cambria Math" w:hAnsi="Cambria Math"/>
            <w:sz w:val="18"/>
            <w:szCs w:val="18"/>
          </w:rPr>
          <m:t>525+200+100−6000×(1+25</m:t>
        </m:r>
      </m:oMath>
      <w:r>
        <w:rPr>
          <w:rFonts w:ascii="宋体" w:hAnsi="宋体" w:eastAsia="宋体" w:cs="宋体"/>
          <w:sz w:val="6"/>
        </w:rPr>
        <w:t xml:space="preserve"> </w:t>
      </w:r>
      <w:r>
        <w:rPr>
          <w:rFonts w:ascii="宋体" w:hAnsi="宋体" w:eastAsia="宋体" w:cs="宋体"/>
          <w:b w:val="0"/>
          <w:i w:val="0"/>
          <w:color w:val="000000"/>
          <w:sz w:val="18"/>
        </w:rPr>
        <w:t>)=450(万元)</w:t>
      </w:r>
    </w:p>
    <w:p w14:paraId="503144A2">
      <w:pPr>
        <w:wordWrap/>
        <w:autoSpaceDE w:val="0"/>
        <w:autoSpaceDN w:val="0"/>
        <w:spacing w:before="220" w:after="0" w:line="260" w:lineRule="atLeast"/>
        <w:ind w:left="740" w:right="0"/>
        <w:jc w:val="both"/>
        <w:textAlignment w:val="auto"/>
        <w:rPr>
          <w:sz w:val="18"/>
        </w:rPr>
      </w:pPr>
      <w:r>
        <w:rPr>
          <w:rFonts w:ascii="宋体" w:hAnsi="宋体" w:eastAsia="宋体" w:cs="宋体"/>
          <w:b w:val="0"/>
          <w:i w:val="0"/>
          <w:color w:val="000000"/>
          <w:sz w:val="18"/>
        </w:rPr>
        <w:t>(3) 2005年末的流动资产= (300+900+1800) × (1+25%) =3750(万元)</w:t>
      </w:r>
    </w:p>
    <w:p w14:paraId="601C2F55">
      <w:pPr>
        <w:wordWrap/>
        <w:autoSpaceDE w:val="0"/>
        <w:autoSpaceDN w:val="0"/>
        <w:spacing w:before="220" w:after="0" w:line="260" w:lineRule="atLeast"/>
        <w:ind w:left="740" w:right="0"/>
        <w:jc w:val="both"/>
        <w:textAlignment w:val="auto"/>
        <w:rPr>
          <w:sz w:val="18"/>
        </w:rPr>
      </w:pPr>
      <w:r>
        <w:rPr>
          <w:rFonts w:ascii="宋体" w:hAnsi="宋体" w:eastAsia="宋体" w:cs="宋体"/>
          <w:b w:val="0"/>
          <w:i w:val="0"/>
          <w:color w:val="000000"/>
          <w:sz w:val="18"/>
        </w:rPr>
        <w:t>2005年末的流动资负债= (300+600)× (1+25%) =1125(万元)</w:t>
      </w:r>
    </w:p>
    <w:p w14:paraId="69EC1572">
      <w:pPr>
        <w:wordWrap/>
        <w:autoSpaceDE w:val="0"/>
        <w:autoSpaceDN w:val="0"/>
        <w:spacing w:before="180" w:after="0" w:line="280" w:lineRule="atLeast"/>
        <w:ind w:left="740" w:right="0"/>
        <w:jc w:val="both"/>
        <w:textAlignment w:val="auto"/>
        <w:rPr>
          <w:sz w:val="18"/>
        </w:rPr>
      </w:pPr>
      <w:r>
        <w:rPr>
          <w:rFonts w:ascii="宋体" w:hAnsi="宋体" w:eastAsia="宋体" w:cs="宋体"/>
          <w:b w:val="0"/>
          <w:i w:val="0"/>
          <w:color w:val="000000"/>
          <w:sz w:val="18"/>
        </w:rPr>
        <w:t>2005年末的资产总额=5400+200+100+ (300+900+1800)×25%=6450(万元)</w:t>
      </w:r>
    </w:p>
    <w:p w14:paraId="393DD9E1">
      <w:pPr>
        <w:wordWrap/>
        <w:autoSpaceDE w:val="0"/>
        <w:autoSpaceDN w:val="0"/>
        <w:spacing w:before="20" w:after="0" w:line="460" w:lineRule="atLeast"/>
        <w:ind w:left="640" w:right="460" w:firstLine="100"/>
        <w:jc w:val="both"/>
        <w:textAlignment w:val="auto"/>
        <w:rPr>
          <w:sz w:val="18"/>
        </w:rPr>
      </w:pPr>
      <w:r>
        <w:rPr>
          <w:rFonts w:ascii="宋体" w:hAnsi="宋体" w:eastAsia="宋体" w:cs="宋体"/>
          <w:b w:val="0"/>
          <w:i w:val="0"/>
          <w:color w:val="000000"/>
          <w:sz w:val="18"/>
        </w:rPr>
        <w:t>(上式中“200+100”是指长期资产的增加额;“(300+900+1800) ×25%”是指流动资产的增加额)</w:t>
      </w:r>
    </w:p>
    <w:p w14:paraId="04FA1A4C">
      <w:pPr>
        <w:wordWrap/>
        <w:autoSpaceDE w:val="0"/>
        <w:autoSpaceDN w:val="0"/>
        <w:spacing w:before="20" w:after="0" w:line="440" w:lineRule="atLeast"/>
        <w:ind w:left="740" w:right="380"/>
        <w:jc w:val="both"/>
        <w:textAlignment w:val="auto"/>
        <w:rPr>
          <w:sz w:val="18"/>
        </w:rPr>
      </w:pPr>
      <w:r>
        <w:rPr>
          <w:rFonts w:ascii="宋体" w:hAnsi="宋体" w:eastAsia="宋体" w:cs="宋体"/>
          <w:b w:val="0"/>
          <w:i w:val="0"/>
          <w:color w:val="000000"/>
          <w:sz w:val="18"/>
        </w:rPr>
        <w:t>因为题目中说明企业需要增加对外筹集的资金由投资者增加投入解决，所以长期负债不变，即2005年末的负债总额=2700+1125=3825(万元)</w:t>
      </w:r>
    </w:p>
    <w:p w14:paraId="5C2F8E97">
      <w:pPr>
        <w:wordWrap/>
        <w:autoSpaceDE w:val="0"/>
        <w:autoSpaceDN w:val="0"/>
        <w:spacing w:before="200" w:after="0" w:line="280" w:lineRule="atLeast"/>
        <w:ind w:left="740" w:right="0"/>
        <w:jc w:val="both"/>
        <w:textAlignment w:val="auto"/>
        <w:rPr>
          <w:sz w:val="18"/>
        </w:rPr>
      </w:pPr>
      <w:r>
        <w:rPr>
          <w:rFonts w:ascii="宋体" w:hAnsi="宋体" w:eastAsia="宋体" w:cs="宋体"/>
          <w:b w:val="0"/>
          <w:i w:val="0"/>
          <w:color w:val="000000"/>
          <w:sz w:val="18"/>
        </w:rPr>
        <w:t>2005年末的所有者权益总额=资产总额-负债总额=6450-3825=2625(万元)</w:t>
      </w:r>
    </w:p>
    <w:p w14:paraId="69FC5ABF">
      <w:pPr>
        <w:wordWrap/>
        <w:autoSpaceDE w:val="0"/>
        <w:autoSpaceDN w:val="0"/>
        <w:spacing w:before="20" w:after="0" w:line="440" w:lineRule="atLeast"/>
        <w:ind w:left="740" w:right="500"/>
        <w:jc w:val="both"/>
        <w:textAlignment w:val="auto"/>
        <w:rPr>
          <w:sz w:val="18"/>
        </w:rPr>
      </w:pPr>
      <w:r>
        <w:rPr>
          <w:rFonts w:ascii="宋体" w:hAnsi="宋体" w:eastAsia="宋体" w:cs="宋体"/>
          <w:b w:val="0"/>
          <w:i w:val="0"/>
          <w:color w:val="000000"/>
          <w:sz w:val="18"/>
        </w:rPr>
        <w:t>(4)05年的速动比率=速动资产/流动负债×100%= (300+900)×(1+25%)/[(300+600)×(1+25%) ]×100%=133.33%</w:t>
      </w:r>
    </w:p>
    <w:p w14:paraId="29FCA0F7">
      <w:pPr>
        <w:wordWrap/>
        <w:autoSpaceDE w:val="0"/>
        <w:autoSpaceDN w:val="0"/>
        <w:spacing w:before="220" w:after="0" w:line="260" w:lineRule="atLeast"/>
        <w:ind w:left="740" w:right="0"/>
        <w:jc w:val="both"/>
        <w:textAlignment w:val="auto"/>
        <w:rPr>
          <w:sz w:val="18"/>
        </w:rPr>
      </w:pPr>
      <w:r>
        <w:rPr>
          <w:rFonts w:ascii="宋体" w:hAnsi="宋体" w:eastAsia="宋体" w:cs="宋体"/>
          <w:b w:val="0"/>
          <w:i w:val="0"/>
          <w:color w:val="000000"/>
          <w:sz w:val="18"/>
        </w:rPr>
        <w:t>05年的产权比率=负债总额/所有者权益总额×100%=3825/2625×100%=145.71%</w:t>
      </w:r>
    </w:p>
    <w:p w14:paraId="555A02D5">
      <w:pPr>
        <w:wordWrap/>
        <w:autoSpaceDE w:val="0"/>
        <w:autoSpaceDN w:val="0"/>
        <w:spacing w:before="220" w:after="0" w:line="260" w:lineRule="atLeast"/>
        <w:ind w:left="740" w:right="0"/>
        <w:jc w:val="both"/>
        <w:textAlignment w:val="auto"/>
        <w:rPr>
          <w:sz w:val="18"/>
        </w:rPr>
      </w:pPr>
      <w:r>
        <w:rPr>
          <w:rFonts w:ascii="宋体" w:hAnsi="宋体" w:eastAsia="宋体" w:cs="宋体"/>
          <w:b w:val="0"/>
          <w:i w:val="0"/>
          <w:color w:val="000000"/>
          <w:sz w:val="18"/>
        </w:rPr>
        <w:t>(5) 05年初的流动资产=300+900+1800=3000(万元)</w:t>
      </w:r>
    </w:p>
    <w:p w14:paraId="5BF730BA">
      <w:pPr>
        <w:wordWrap/>
        <w:autoSpaceDE w:val="0"/>
        <w:autoSpaceDN w:val="0"/>
        <w:spacing w:before="160" w:after="0" w:line="280" w:lineRule="atLeast"/>
        <w:ind w:left="740" w:right="0"/>
        <w:jc w:val="both"/>
        <w:textAlignment w:val="auto"/>
        <w:rPr>
          <w:sz w:val="18"/>
        </w:rPr>
      </w:pPr>
      <w:r>
        <w:rPr>
          <w:rFonts w:ascii="宋体" w:hAnsi="宋体" w:eastAsia="宋体" w:cs="宋体"/>
          <w:b w:val="0"/>
          <w:i w:val="0"/>
          <w:color w:val="000000"/>
          <w:sz w:val="18"/>
        </w:rPr>
        <w:t>05年的流动资产周转次数=6000×(1+25%)/[(3000+3750)/2]=2.22(次)</w:t>
      </w:r>
    </w:p>
    <w:p w14:paraId="01E7CB46">
      <w:pPr>
        <w:wordWrap/>
        <w:autoSpaceDE w:val="0"/>
        <w:autoSpaceDN w:val="0"/>
        <w:spacing w:before="200" w:after="0" w:line="260" w:lineRule="atLeast"/>
        <w:ind w:left="740" w:right="0"/>
        <w:jc w:val="both"/>
        <w:textAlignment w:val="auto"/>
        <w:rPr>
          <w:sz w:val="18"/>
        </w:rPr>
      </w:pPr>
      <w:r>
        <w:rPr>
          <w:rFonts w:ascii="宋体" w:hAnsi="宋体" w:eastAsia="宋体" w:cs="宋体"/>
          <w:b w:val="0"/>
          <w:i w:val="0"/>
          <w:color w:val="000000"/>
          <w:sz w:val="18"/>
        </w:rPr>
        <w:t>05年的总资产周转次数=6000×(1+25%)/[(5400+6450) /2]=1.27(次)</w:t>
      </w:r>
    </w:p>
    <w:p w14:paraId="01CF70BE">
      <w:pPr>
        <w:wordWrap/>
        <w:autoSpaceDE w:val="0"/>
        <w:autoSpaceDN w:val="0"/>
        <w:spacing w:before="220" w:after="0" w:line="260" w:lineRule="atLeast"/>
        <w:ind w:left="740" w:right="0"/>
        <w:jc w:val="both"/>
        <w:textAlignment w:val="auto"/>
        <w:rPr>
          <w:sz w:val="18"/>
        </w:rPr>
      </w:pPr>
      <w:r>
        <w:rPr>
          <w:rFonts w:ascii="宋体" w:hAnsi="宋体" w:eastAsia="宋体" w:cs="宋体"/>
          <w:b w:val="0"/>
          <w:i w:val="0"/>
          <w:color w:val="000000"/>
          <w:sz w:val="18"/>
        </w:rPr>
        <w:t>(6)2005年的净资产收益率=6000×(1+25%)×10%/[(1200+600+2625)/2]×100%=33.90%</w:t>
      </w:r>
    </w:p>
    <w:p w14:paraId="786590E9">
      <w:pPr>
        <w:wordWrap/>
        <w:autoSpaceDE w:val="0"/>
        <w:autoSpaceDN w:val="0"/>
        <w:spacing w:before="180" w:after="0" w:line="260" w:lineRule="atLeast"/>
        <w:ind w:left="740" w:right="0"/>
        <w:jc w:val="both"/>
        <w:textAlignment w:val="auto"/>
        <w:rPr>
          <w:sz w:val="18"/>
        </w:rPr>
      </w:pPr>
      <w:r>
        <w:rPr>
          <w:rFonts w:ascii="宋体" w:hAnsi="宋体" w:eastAsia="宋体" w:cs="宋体"/>
          <w:b w:val="0"/>
          <w:i w:val="0"/>
          <w:color w:val="000000"/>
          <w:sz w:val="18"/>
        </w:rPr>
        <w:t>(7) 2005年的资本积累率= (2625-1800) /1800×100%=45.83%</w:t>
      </w:r>
    </w:p>
    <w:p w14:paraId="0074E02F">
      <w:pPr>
        <w:wordWrap/>
        <w:autoSpaceDE w:val="0"/>
        <w:autoSpaceDN w:val="0"/>
        <w:spacing w:before="220" w:after="0" w:line="260" w:lineRule="atLeast"/>
        <w:ind w:left="740" w:right="0"/>
        <w:jc w:val="both"/>
        <w:textAlignment w:val="auto"/>
        <w:rPr>
          <w:sz w:val="18"/>
        </w:rPr>
      </w:pPr>
      <w:r>
        <w:rPr>
          <w:rFonts w:ascii="宋体" w:hAnsi="宋体" w:eastAsia="宋体" w:cs="宋体"/>
          <w:b w:val="0"/>
          <w:i w:val="0"/>
          <w:color w:val="000000"/>
          <w:sz w:val="18"/>
        </w:rPr>
        <w:t>2005年的总资产增长率= (6450-5400) /5400×100%=19.44%</w:t>
      </w:r>
    </w:p>
    <w:p w14:paraId="780A9359">
      <w:pPr>
        <w:wordWrap/>
        <w:autoSpaceDE w:val="0"/>
        <w:autoSpaceDN w:val="0"/>
        <w:spacing w:before="20" w:after="0" w:line="460" w:lineRule="atLeast"/>
        <w:ind w:left="280" w:right="440"/>
        <w:jc w:val="both"/>
        <w:textAlignment w:val="auto"/>
        <w:rPr>
          <w:sz w:val="18"/>
        </w:rPr>
      </w:pPr>
      <w:r>
        <w:rPr>
          <w:rFonts w:ascii="宋体" w:hAnsi="宋体" w:eastAsia="宋体" w:cs="宋体"/>
          <w:b w:val="0"/>
          <w:i w:val="0"/>
          <w:color w:val="000000"/>
          <w:sz w:val="18"/>
        </w:rPr>
        <w:t>2.某企业准备投资一个完整工业建设项目，所在的行业基准折现率(资金成本率)为10%，分别有A、B、C三个方案可供选择。</w:t>
      </w:r>
      <w:r>
        <w:br w:type="page"/>
      </w:r>
    </w:p>
    <w:p w14:paraId="42C05B86">
      <w:pPr>
        <w:wordWrap/>
        <w:autoSpaceDE w:val="0"/>
        <w:autoSpaceDN w:val="0"/>
        <w:spacing w:before="660" w:after="0" w:line="280" w:lineRule="atLeast"/>
        <w:ind w:left="340" w:right="0"/>
        <w:jc w:val="both"/>
        <w:textAlignment w:val="auto"/>
        <w:rPr>
          <w:sz w:val="18"/>
        </w:rPr>
      </w:pPr>
      <w:r>
        <w:rPr>
          <w:rFonts w:ascii="宋体" w:hAnsi="宋体" w:eastAsia="宋体" w:cs="宋体"/>
          <w:b w:val="0"/>
          <w:i w:val="0"/>
          <w:color w:val="000000"/>
          <w:sz w:val="18"/>
        </w:rPr>
        <w:t>(1) A方案的有关资料如下：</w:t>
      </w:r>
    </w:p>
    <w:p w14:paraId="0F585137">
      <w:pPr>
        <w:wordWrap/>
        <w:autoSpaceDE w:val="0"/>
        <w:autoSpaceDN w:val="0"/>
        <w:spacing w:before="220" w:after="0" w:line="260" w:lineRule="atLeast"/>
        <w:ind w:left="340" w:right="0"/>
        <w:jc w:val="both"/>
        <w:textAlignment w:val="auto"/>
        <w:rPr>
          <w:sz w:val="18"/>
        </w:rPr>
      </w:pPr>
      <w:r>
        <w:rPr>
          <w:rFonts w:ascii="宋体" w:hAnsi="宋体" w:eastAsia="宋体" w:cs="宋体"/>
          <w:b w:val="0"/>
          <w:i w:val="0"/>
          <w:color w:val="000000"/>
          <w:sz w:val="18"/>
        </w:rPr>
        <w:t>金额单位：元</w:t>
      </w:r>
    </w:p>
    <w:p w14:paraId="0054A78B">
      <w:pPr>
        <w:wordWrap/>
        <w:spacing w:before="0" w:after="0" w:line="140" w:lineRule="exact"/>
        <w:ind w:left="0" w:right="0"/>
        <w:textAlignment w:val="auto"/>
      </w:pPr>
    </w:p>
    <w:tbl>
      <w:tblPr>
        <w:tblStyle w:val="2"/>
        <w:tblW w:w="0" w:type="auto"/>
        <w:tblInd w:w="28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1280"/>
        <w:gridCol w:w="840"/>
        <w:gridCol w:w="820"/>
        <w:gridCol w:w="820"/>
        <w:gridCol w:w="940"/>
        <w:gridCol w:w="1000"/>
        <w:gridCol w:w="940"/>
        <w:gridCol w:w="960"/>
        <w:gridCol w:w="840"/>
      </w:tblGrid>
      <w:tr w14:paraId="0FE5C4C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80" w:hRule="atLeast"/>
        </w:trPr>
        <w:tc>
          <w:tcPr>
            <w:tcW w:w="1280" w:type="dxa"/>
            <w:vAlign w:val="center"/>
          </w:tcPr>
          <w:p w14:paraId="107B2359">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计算期</w:t>
            </w:r>
          </w:p>
        </w:tc>
        <w:tc>
          <w:tcPr>
            <w:tcW w:w="840" w:type="dxa"/>
            <w:vAlign w:val="center"/>
          </w:tcPr>
          <w:p w14:paraId="3FBB6F1C">
            <w:pPr>
              <w:wordWrap/>
              <w:autoSpaceDE w:val="0"/>
              <w:autoSpaceDN w:val="0"/>
              <w:spacing w:before="0" w:after="0" w:line="360" w:lineRule="atLeast"/>
              <w:ind w:left="0" w:right="0"/>
              <w:jc w:val="center"/>
              <w:textAlignment w:val="auto"/>
              <w:rPr>
                <w:sz w:val="22"/>
              </w:rPr>
            </w:pPr>
            <w:r>
              <w:rPr>
                <w:rFonts w:ascii="宋体" w:hAnsi="宋体" w:eastAsia="宋体" w:cs="宋体"/>
                <w:b w:val="0"/>
                <w:i w:val="0"/>
                <w:color w:val="000000"/>
                <w:sz w:val="22"/>
              </w:rPr>
              <w:t>0</w:t>
            </w:r>
          </w:p>
        </w:tc>
        <w:tc>
          <w:tcPr>
            <w:tcW w:w="820" w:type="dxa"/>
            <w:vAlign w:val="center"/>
          </w:tcPr>
          <w:p w14:paraId="6CED5E77">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1</w:t>
            </w:r>
          </w:p>
        </w:tc>
        <w:tc>
          <w:tcPr>
            <w:tcW w:w="820" w:type="dxa"/>
            <w:vAlign w:val="center"/>
          </w:tcPr>
          <w:p w14:paraId="243C09C2">
            <w:pPr>
              <w:wordWrap/>
              <w:autoSpaceDE w:val="0"/>
              <w:autoSpaceDN w:val="0"/>
              <w:spacing w:before="0" w:after="0" w:line="360" w:lineRule="atLeast"/>
              <w:ind w:left="0" w:right="0"/>
              <w:jc w:val="center"/>
              <w:textAlignment w:val="auto"/>
              <w:rPr>
                <w:sz w:val="22"/>
              </w:rPr>
            </w:pPr>
            <w:r>
              <w:rPr>
                <w:rFonts w:ascii="宋体" w:hAnsi="宋体" w:eastAsia="宋体" w:cs="宋体"/>
                <w:b w:val="0"/>
                <w:i w:val="0"/>
                <w:color w:val="000000"/>
                <w:sz w:val="22"/>
              </w:rPr>
              <w:t>2</w:t>
            </w:r>
          </w:p>
        </w:tc>
        <w:tc>
          <w:tcPr>
            <w:tcW w:w="940" w:type="dxa"/>
            <w:vAlign w:val="center"/>
          </w:tcPr>
          <w:p w14:paraId="525A04CD">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3</w:t>
            </w:r>
          </w:p>
        </w:tc>
        <w:tc>
          <w:tcPr>
            <w:tcW w:w="1000" w:type="dxa"/>
            <w:vAlign w:val="center"/>
          </w:tcPr>
          <w:p w14:paraId="1CE3037C">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4</w:t>
            </w:r>
          </w:p>
        </w:tc>
        <w:tc>
          <w:tcPr>
            <w:tcW w:w="940" w:type="dxa"/>
            <w:vAlign w:val="center"/>
          </w:tcPr>
          <w:p w14:paraId="3588B81E">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5</w:t>
            </w:r>
          </w:p>
        </w:tc>
        <w:tc>
          <w:tcPr>
            <w:tcW w:w="960" w:type="dxa"/>
            <w:vAlign w:val="center"/>
          </w:tcPr>
          <w:p w14:paraId="76B1AE1A">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6</w:t>
            </w:r>
          </w:p>
        </w:tc>
        <w:tc>
          <w:tcPr>
            <w:tcW w:w="840" w:type="dxa"/>
            <w:vAlign w:val="center"/>
          </w:tcPr>
          <w:p w14:paraId="59DAA025">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合计</w:t>
            </w:r>
          </w:p>
        </w:tc>
      </w:tr>
      <w:tr w14:paraId="12109AA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60" w:hRule="atLeast"/>
        </w:trPr>
        <w:tc>
          <w:tcPr>
            <w:tcW w:w="1280" w:type="dxa"/>
            <w:vAlign w:val="center"/>
          </w:tcPr>
          <w:p w14:paraId="78215450">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净现金流量</w:t>
            </w:r>
          </w:p>
        </w:tc>
        <w:tc>
          <w:tcPr>
            <w:tcW w:w="840" w:type="dxa"/>
            <w:vAlign w:val="center"/>
          </w:tcPr>
          <w:p w14:paraId="25567C8C">
            <w:pPr>
              <w:wordWrap/>
              <w:autoSpaceDE w:val="0"/>
              <w:autoSpaceDN w:val="0"/>
              <w:spacing w:before="0" w:after="0" w:line="360" w:lineRule="atLeast"/>
              <w:ind w:left="0" w:right="0"/>
              <w:jc w:val="center"/>
              <w:textAlignment w:val="auto"/>
              <w:rPr>
                <w:sz w:val="22"/>
              </w:rPr>
            </w:pPr>
            <w:r>
              <w:rPr>
                <w:rFonts w:ascii="宋体" w:hAnsi="宋体" w:eastAsia="宋体" w:cs="宋体"/>
                <w:b w:val="0"/>
                <w:i w:val="0"/>
                <w:color w:val="000000"/>
                <w:sz w:val="22"/>
              </w:rPr>
              <w:t>-60000</w:t>
            </w:r>
          </w:p>
        </w:tc>
        <w:tc>
          <w:tcPr>
            <w:tcW w:w="820" w:type="dxa"/>
            <w:vAlign w:val="center"/>
          </w:tcPr>
          <w:p w14:paraId="767CE846">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0</w:t>
            </w:r>
          </w:p>
        </w:tc>
        <w:tc>
          <w:tcPr>
            <w:tcW w:w="820" w:type="dxa"/>
            <w:vAlign w:val="center"/>
          </w:tcPr>
          <w:p w14:paraId="0BA8BD7C">
            <w:pPr>
              <w:wordWrap/>
              <w:autoSpaceDE w:val="0"/>
              <w:autoSpaceDN w:val="0"/>
              <w:spacing w:before="0" w:after="0" w:line="360" w:lineRule="atLeast"/>
              <w:ind w:left="0" w:right="0"/>
              <w:jc w:val="center"/>
              <w:textAlignment w:val="auto"/>
              <w:rPr>
                <w:sz w:val="22"/>
              </w:rPr>
            </w:pPr>
            <w:r>
              <w:rPr>
                <w:rFonts w:ascii="宋体" w:hAnsi="宋体" w:eastAsia="宋体" w:cs="宋体"/>
                <w:b w:val="0"/>
                <w:i w:val="0"/>
                <w:color w:val="000000"/>
                <w:sz w:val="22"/>
              </w:rPr>
              <w:t>30000</w:t>
            </w:r>
          </w:p>
        </w:tc>
        <w:tc>
          <w:tcPr>
            <w:tcW w:w="940" w:type="dxa"/>
            <w:vAlign w:val="center"/>
          </w:tcPr>
          <w:p w14:paraId="07AA898A">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30000</w:t>
            </w:r>
          </w:p>
        </w:tc>
        <w:tc>
          <w:tcPr>
            <w:tcW w:w="1000" w:type="dxa"/>
            <w:vAlign w:val="center"/>
          </w:tcPr>
          <w:p w14:paraId="7D64E1EB">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20000</w:t>
            </w:r>
          </w:p>
        </w:tc>
        <w:tc>
          <w:tcPr>
            <w:tcW w:w="940" w:type="dxa"/>
            <w:vAlign w:val="center"/>
          </w:tcPr>
          <w:p w14:paraId="047C09DF">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20000</w:t>
            </w:r>
          </w:p>
        </w:tc>
        <w:tc>
          <w:tcPr>
            <w:tcW w:w="960" w:type="dxa"/>
            <w:vAlign w:val="center"/>
          </w:tcPr>
          <w:p w14:paraId="71905BDB">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30000</w:t>
            </w:r>
          </w:p>
        </w:tc>
        <w:tc>
          <w:tcPr>
            <w:tcW w:w="840" w:type="dxa"/>
            <w:vAlign w:val="center"/>
          </w:tcPr>
          <w:p w14:paraId="15C3661A">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w:t>
            </w:r>
          </w:p>
        </w:tc>
      </w:tr>
      <w:tr w14:paraId="1DE1465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920" w:hRule="atLeast"/>
        </w:trPr>
        <w:tc>
          <w:tcPr>
            <w:tcW w:w="1280" w:type="dxa"/>
            <w:vAlign w:val="center"/>
          </w:tcPr>
          <w:p w14:paraId="0C3A5648">
            <w:pPr>
              <w:wordWrap/>
              <w:autoSpaceDE w:val="0"/>
              <w:autoSpaceDN w:val="0"/>
              <w:spacing w:before="0" w:after="0" w:line="420" w:lineRule="atLeast"/>
              <w:ind w:left="0" w:right="0"/>
              <w:jc w:val="both"/>
              <w:textAlignment w:val="auto"/>
              <w:rPr>
                <w:sz w:val="22"/>
              </w:rPr>
            </w:pPr>
            <w:r>
              <w:rPr>
                <w:rFonts w:ascii="宋体" w:hAnsi="宋体" w:eastAsia="宋体" w:cs="宋体"/>
                <w:b w:val="0"/>
                <w:i w:val="0"/>
                <w:color w:val="000000"/>
                <w:sz w:val="22"/>
              </w:rPr>
              <w:t>折现的净现</w:t>
            </w:r>
          </w:p>
          <w:p w14:paraId="2B56EEB9">
            <w:pPr>
              <w:wordWrap/>
              <w:autoSpaceDE w:val="0"/>
              <w:autoSpaceDN w:val="0"/>
              <w:spacing w:before="20" w:after="0" w:line="400" w:lineRule="atLeast"/>
              <w:ind w:left="0" w:right="0"/>
              <w:jc w:val="both"/>
              <w:textAlignment w:val="auto"/>
              <w:rPr>
                <w:sz w:val="22"/>
              </w:rPr>
            </w:pPr>
            <w:r>
              <w:rPr>
                <w:rFonts w:ascii="宋体" w:hAnsi="宋体" w:eastAsia="宋体" w:cs="宋体"/>
                <w:b w:val="0"/>
                <w:i w:val="0"/>
                <w:color w:val="000000"/>
                <w:sz w:val="22"/>
              </w:rPr>
              <w:t>金流量</w:t>
            </w:r>
          </w:p>
        </w:tc>
        <w:tc>
          <w:tcPr>
            <w:tcW w:w="840" w:type="dxa"/>
            <w:vAlign w:val="center"/>
          </w:tcPr>
          <w:p w14:paraId="1C8A5B60">
            <w:pPr>
              <w:wordWrap/>
              <w:autoSpaceDE w:val="0"/>
              <w:autoSpaceDN w:val="0"/>
              <w:spacing w:before="0" w:after="0" w:line="360" w:lineRule="atLeast"/>
              <w:ind w:left="0" w:right="0"/>
              <w:jc w:val="center"/>
              <w:textAlignment w:val="auto"/>
              <w:rPr>
                <w:sz w:val="22"/>
              </w:rPr>
            </w:pPr>
            <w:r>
              <w:rPr>
                <w:rFonts w:ascii="宋体" w:hAnsi="宋体" w:eastAsia="宋体" w:cs="宋体"/>
                <w:b w:val="0"/>
                <w:i w:val="0"/>
                <w:color w:val="000000"/>
                <w:sz w:val="22"/>
              </w:rPr>
              <w:t>-60000</w:t>
            </w:r>
          </w:p>
        </w:tc>
        <w:tc>
          <w:tcPr>
            <w:tcW w:w="820" w:type="dxa"/>
            <w:vAlign w:val="center"/>
          </w:tcPr>
          <w:p w14:paraId="52D7CF12">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0</w:t>
            </w:r>
          </w:p>
        </w:tc>
        <w:tc>
          <w:tcPr>
            <w:tcW w:w="820" w:type="dxa"/>
            <w:vAlign w:val="center"/>
          </w:tcPr>
          <w:p w14:paraId="2B4F626C">
            <w:pPr>
              <w:wordWrap/>
              <w:autoSpaceDE w:val="0"/>
              <w:autoSpaceDN w:val="0"/>
              <w:spacing w:before="0" w:after="0" w:line="360" w:lineRule="atLeast"/>
              <w:ind w:left="0" w:right="0"/>
              <w:jc w:val="center"/>
              <w:textAlignment w:val="auto"/>
              <w:rPr>
                <w:sz w:val="22"/>
              </w:rPr>
            </w:pPr>
            <w:r>
              <w:rPr>
                <w:rFonts w:ascii="宋体" w:hAnsi="宋体" w:eastAsia="宋体" w:cs="宋体"/>
                <w:b w:val="0"/>
                <w:i w:val="0"/>
                <w:color w:val="000000"/>
                <w:sz w:val="22"/>
              </w:rPr>
              <w:t>24792</w:t>
            </w:r>
          </w:p>
        </w:tc>
        <w:tc>
          <w:tcPr>
            <w:tcW w:w="940" w:type="dxa"/>
            <w:vAlign w:val="center"/>
          </w:tcPr>
          <w:p w14:paraId="7F5B5307">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22539</w:t>
            </w:r>
          </w:p>
        </w:tc>
        <w:tc>
          <w:tcPr>
            <w:tcW w:w="1000" w:type="dxa"/>
            <w:vAlign w:val="center"/>
          </w:tcPr>
          <w:p w14:paraId="41188F09">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13660</w:t>
            </w:r>
          </w:p>
        </w:tc>
        <w:tc>
          <w:tcPr>
            <w:tcW w:w="940" w:type="dxa"/>
            <w:vAlign w:val="center"/>
          </w:tcPr>
          <w:p w14:paraId="19CBF0FE">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12418</w:t>
            </w:r>
          </w:p>
        </w:tc>
        <w:tc>
          <w:tcPr>
            <w:tcW w:w="960" w:type="dxa"/>
            <w:vAlign w:val="center"/>
          </w:tcPr>
          <w:p w14:paraId="14BC48CA">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16935</w:t>
            </w:r>
          </w:p>
        </w:tc>
        <w:tc>
          <w:tcPr>
            <w:tcW w:w="840" w:type="dxa"/>
            <w:vAlign w:val="center"/>
          </w:tcPr>
          <w:p w14:paraId="5FB91C3D">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30344</w:t>
            </w:r>
          </w:p>
        </w:tc>
      </w:tr>
    </w:tbl>
    <w:p w14:paraId="7B2AB6C0">
      <w:pPr>
        <w:wordWrap/>
        <w:autoSpaceDE w:val="0"/>
        <w:autoSpaceDN w:val="0"/>
        <w:spacing w:before="520" w:after="0" w:line="280" w:lineRule="atLeast"/>
        <w:ind w:left="340" w:right="0"/>
        <w:jc w:val="both"/>
        <w:textAlignment w:val="auto"/>
        <w:rPr>
          <w:sz w:val="18"/>
        </w:rPr>
      </w:pPr>
      <w:r>
        <w:rPr>
          <w:rFonts w:ascii="宋体" w:hAnsi="宋体" w:eastAsia="宋体" w:cs="宋体"/>
          <w:b w:val="0"/>
          <w:i w:val="0"/>
          <w:color w:val="000000"/>
          <w:sz w:val="18"/>
        </w:rPr>
        <w:t>已知A方案的投资于建设期起点一次投入，建设期为1年，该方案年等额净回收额为6967元。</w:t>
      </w:r>
    </w:p>
    <w:p w14:paraId="4C881D50">
      <w:pPr>
        <w:wordWrap/>
        <w:autoSpaceDE w:val="0"/>
        <w:autoSpaceDN w:val="0"/>
        <w:spacing w:before="40" w:after="0" w:line="440" w:lineRule="atLeast"/>
        <w:ind w:left="240" w:right="460" w:firstLine="100"/>
        <w:jc w:val="both"/>
        <w:textAlignment w:val="auto"/>
        <w:rPr>
          <w:sz w:val="18"/>
        </w:rPr>
      </w:pPr>
      <w:r>
        <w:rPr>
          <w:rFonts w:ascii="宋体" w:hAnsi="宋体" w:eastAsia="宋体" w:cs="宋体"/>
          <w:b w:val="0"/>
          <w:i w:val="0"/>
          <w:color w:val="000000"/>
          <w:sz w:val="18"/>
        </w:rPr>
        <w:t>(2) B方案的项目计算期为8年，包括建设期的静态投资回收期为3.5年，净现值为50000元，年等额净回收额为 9370元。</w:t>
      </w:r>
    </w:p>
    <w:p w14:paraId="19C35A0B">
      <w:pPr>
        <w:wordWrap/>
        <w:autoSpaceDE w:val="0"/>
        <w:autoSpaceDN w:val="0"/>
        <w:spacing w:before="200" w:after="0" w:line="280" w:lineRule="atLeast"/>
        <w:ind w:left="340" w:right="0"/>
        <w:jc w:val="both"/>
        <w:textAlignment w:val="auto"/>
        <w:rPr>
          <w:sz w:val="18"/>
        </w:rPr>
      </w:pPr>
      <w:r>
        <w:rPr>
          <w:rFonts w:ascii="宋体" w:hAnsi="宋体" w:eastAsia="宋体" w:cs="宋体"/>
          <w:b w:val="0"/>
          <w:i w:val="0"/>
          <w:color w:val="000000"/>
          <w:sz w:val="18"/>
        </w:rPr>
        <w:t>(3) C方案的项目计算期为12年，包括建设期的静态投资回收期为7年，净现值为 70000元。</w:t>
      </w:r>
    </w:p>
    <w:p w14:paraId="7C8DEDD5">
      <w:pPr>
        <w:wordWrap/>
        <w:autoSpaceDE w:val="0"/>
        <w:autoSpaceDN w:val="0"/>
        <w:spacing w:before="180" w:after="0" w:line="260" w:lineRule="atLeast"/>
        <w:ind w:left="760" w:right="0"/>
        <w:jc w:val="both"/>
        <w:textAlignment w:val="auto"/>
        <w:rPr>
          <w:sz w:val="18"/>
        </w:rPr>
      </w:pPr>
      <w:r>
        <w:rPr>
          <w:rFonts w:ascii="宋体" w:hAnsi="宋体" w:eastAsia="宋体" w:cs="宋体"/>
          <w:b w:val="0"/>
          <w:i w:val="0"/>
          <w:color w:val="000000"/>
          <w:sz w:val="18"/>
        </w:rPr>
        <w:t>要求：</w:t>
      </w:r>
    </w:p>
    <w:p w14:paraId="5C780C3B">
      <w:pPr>
        <w:wordWrap/>
        <w:autoSpaceDE w:val="0"/>
        <w:autoSpaceDN w:val="0"/>
        <w:spacing w:before="220" w:after="0" w:line="280" w:lineRule="atLeast"/>
        <w:ind w:left="760" w:right="0"/>
        <w:jc w:val="both"/>
        <w:textAlignment w:val="auto"/>
        <w:rPr>
          <w:sz w:val="18"/>
        </w:rPr>
      </w:pPr>
      <w:r>
        <w:rPr>
          <w:rFonts w:ascii="宋体" w:hAnsi="宋体" w:eastAsia="宋体" w:cs="宋体"/>
          <w:b w:val="0"/>
          <w:i w:val="0"/>
          <w:color w:val="000000"/>
          <w:sz w:val="18"/>
        </w:rPr>
        <w:t>(1) 计算或指出A方案的下列指标：①包括建设期的静态投资回收期； ②净现值。</w:t>
      </w:r>
    </w:p>
    <w:p w14:paraId="708B2D77">
      <w:pPr>
        <w:wordWrap/>
        <w:autoSpaceDE w:val="0"/>
        <w:autoSpaceDN w:val="0"/>
        <w:spacing w:before="200" w:after="0" w:line="280" w:lineRule="atLeast"/>
        <w:ind w:left="760" w:right="0"/>
        <w:jc w:val="both"/>
        <w:textAlignment w:val="auto"/>
        <w:rPr>
          <w:sz w:val="18"/>
        </w:rPr>
      </w:pPr>
      <w:r>
        <w:rPr>
          <w:rFonts w:ascii="宋体" w:hAnsi="宋体" w:eastAsia="宋体" w:cs="宋体"/>
          <w:b w:val="0"/>
          <w:i w:val="0"/>
          <w:color w:val="000000"/>
          <w:sz w:val="18"/>
        </w:rPr>
        <w:t>(2) 评价A、B、C三个方案的财务可行性。</w:t>
      </w:r>
    </w:p>
    <w:p w14:paraId="4A70889A">
      <w:pPr>
        <w:wordWrap/>
        <w:autoSpaceDE w:val="0"/>
        <w:autoSpaceDN w:val="0"/>
        <w:spacing w:before="180" w:after="0" w:line="280" w:lineRule="atLeast"/>
        <w:ind w:left="760" w:right="0"/>
        <w:jc w:val="both"/>
        <w:textAlignment w:val="auto"/>
        <w:rPr>
          <w:sz w:val="18"/>
        </w:rPr>
      </w:pPr>
      <w:r>
        <w:rPr>
          <w:rFonts w:ascii="宋体" w:hAnsi="宋体" w:eastAsia="宋体" w:cs="宋体"/>
          <w:b w:val="0"/>
          <w:i w:val="0"/>
          <w:color w:val="000000"/>
          <w:sz w:val="18"/>
        </w:rPr>
        <w:t>(3) 计算C方案的年等额净回收额。</w:t>
      </w:r>
    </w:p>
    <w:p w14:paraId="5F5F9E09">
      <w:pPr>
        <w:wordWrap/>
        <w:autoSpaceDE w:val="0"/>
        <w:autoSpaceDN w:val="0"/>
        <w:spacing w:before="160" w:after="0" w:line="280" w:lineRule="atLeast"/>
        <w:ind w:left="760" w:right="0"/>
        <w:jc w:val="both"/>
        <w:textAlignment w:val="auto"/>
        <w:rPr>
          <w:sz w:val="18"/>
        </w:rPr>
      </w:pPr>
      <w:r>
        <w:rPr>
          <w:rFonts w:ascii="宋体" w:hAnsi="宋体" w:eastAsia="宋体" w:cs="宋体"/>
          <w:b w:val="0"/>
          <w:i w:val="0"/>
          <w:color w:val="000000"/>
          <w:sz w:val="18"/>
        </w:rPr>
        <w:t>(4) 按计算期统一法的最短计算期法计算B方案调整后的净现值(计算结果保留整数)。</w:t>
      </w:r>
    </w:p>
    <w:p w14:paraId="7F1A39BB">
      <w:pPr>
        <w:wordWrap/>
        <w:autoSpaceDE w:val="0"/>
        <w:autoSpaceDN w:val="0"/>
        <w:spacing w:before="20" w:after="0" w:line="450" w:lineRule="atLeast"/>
        <w:ind w:left="680" w:right="480" w:firstLine="80"/>
        <w:jc w:val="both"/>
        <w:textAlignment w:val="auto"/>
        <w:rPr>
          <w:sz w:val="18"/>
        </w:rPr>
      </w:pPr>
      <w:r>
        <w:rPr>
          <w:rFonts w:ascii="宋体" w:hAnsi="宋体" w:eastAsia="宋体" w:cs="宋体"/>
          <w:b w:val="0"/>
          <w:i w:val="0"/>
          <w:color w:val="000000"/>
          <w:sz w:val="18"/>
        </w:rPr>
        <w:t>(5) 分别用年等额净回收额法和最短计算期法作出投资决策(已知最短计算期为6年，A、C方案调整后净现值分别为30344元和44755元)。</w:t>
      </w:r>
    </w:p>
    <w:p w14:paraId="5112856E">
      <w:pPr>
        <w:wordWrap/>
        <w:autoSpaceDE w:val="0"/>
        <w:autoSpaceDN w:val="0"/>
        <w:spacing w:before="220" w:after="0" w:line="260" w:lineRule="atLeast"/>
        <w:ind w:left="760" w:right="0"/>
        <w:jc w:val="both"/>
        <w:textAlignment w:val="auto"/>
        <w:rPr>
          <w:sz w:val="18"/>
        </w:rPr>
      </w:pPr>
      <w:r>
        <w:rPr>
          <w:rFonts w:ascii="宋体" w:hAnsi="宋体" w:eastAsia="宋体" w:cs="宋体"/>
          <w:b w:val="0"/>
          <w:i w:val="0"/>
          <w:color w:val="000000"/>
          <w:sz w:val="18"/>
        </w:rPr>
        <w:t>部分时间价值系数如下：</w:t>
      </w:r>
    </w:p>
    <w:p w14:paraId="23E5B2DE">
      <w:pPr>
        <w:wordWrap/>
        <w:spacing w:before="0" w:after="0" w:line="160" w:lineRule="exact"/>
        <w:ind w:left="0" w:right="0"/>
        <w:textAlignment w:val="auto"/>
      </w:pPr>
    </w:p>
    <w:tbl>
      <w:tblPr>
        <w:tblStyle w:val="2"/>
        <w:tblW w:w="0" w:type="auto"/>
        <w:tblInd w:w="28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2120"/>
        <w:gridCol w:w="2140"/>
        <w:gridCol w:w="2240"/>
        <w:gridCol w:w="2060"/>
      </w:tblGrid>
      <w:tr w14:paraId="2C28314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60" w:hRule="atLeast"/>
        </w:trPr>
        <w:tc>
          <w:tcPr>
            <w:tcW w:w="2120" w:type="dxa"/>
            <w:vAlign w:val="center"/>
          </w:tcPr>
          <w:p w14:paraId="1DD9ABA3">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t</w:t>
            </w:r>
          </w:p>
        </w:tc>
        <w:tc>
          <w:tcPr>
            <w:tcW w:w="2140" w:type="dxa"/>
            <w:vAlign w:val="center"/>
          </w:tcPr>
          <w:p w14:paraId="25747663">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6</w:t>
            </w:r>
          </w:p>
        </w:tc>
        <w:tc>
          <w:tcPr>
            <w:tcW w:w="2240" w:type="dxa"/>
            <w:vAlign w:val="center"/>
          </w:tcPr>
          <w:p w14:paraId="62BA7C8E">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8</w:t>
            </w:r>
          </w:p>
        </w:tc>
        <w:tc>
          <w:tcPr>
            <w:tcW w:w="2060" w:type="dxa"/>
            <w:vAlign w:val="center"/>
          </w:tcPr>
          <w:p w14:paraId="6116C379">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12</w:t>
            </w:r>
          </w:p>
        </w:tc>
      </w:tr>
      <w:tr w14:paraId="2F8885F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60" w:hRule="atLeast"/>
        </w:trPr>
        <w:tc>
          <w:tcPr>
            <w:tcW w:w="2120" w:type="dxa"/>
            <w:vAlign w:val="center"/>
          </w:tcPr>
          <w:p w14:paraId="0E87CBE0">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10%的年金现值系数</w:t>
            </w:r>
          </w:p>
        </w:tc>
        <w:tc>
          <w:tcPr>
            <w:tcW w:w="2140" w:type="dxa"/>
            <w:vAlign w:val="center"/>
          </w:tcPr>
          <w:p w14:paraId="2C1D8F0A">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4.3553</w:t>
            </w:r>
          </w:p>
        </w:tc>
        <w:tc>
          <w:tcPr>
            <w:tcW w:w="2240" w:type="dxa"/>
            <w:vAlign w:val="center"/>
          </w:tcPr>
          <w:p w14:paraId="4D38B4BC">
            <w:pPr>
              <w:wordWrap/>
              <w:spacing w:before="0" w:after="0" w:line="240" w:lineRule="exact"/>
              <w:ind w:left="0" w:right="0"/>
              <w:jc w:val="both"/>
              <w:textAlignment w:val="auto"/>
            </w:pPr>
          </w:p>
        </w:tc>
        <w:tc>
          <w:tcPr>
            <w:tcW w:w="2060" w:type="dxa"/>
            <w:vAlign w:val="center"/>
          </w:tcPr>
          <w:p w14:paraId="33601374">
            <w:pPr>
              <w:wordWrap/>
              <w:spacing w:before="0" w:after="0" w:line="240" w:lineRule="exact"/>
              <w:ind w:left="0" w:right="0"/>
              <w:jc w:val="both"/>
              <w:textAlignment w:val="auto"/>
            </w:pPr>
          </w:p>
        </w:tc>
      </w:tr>
      <w:tr w14:paraId="4AB6012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40" w:hRule="atLeast"/>
        </w:trPr>
        <w:tc>
          <w:tcPr>
            <w:tcW w:w="2120" w:type="dxa"/>
            <w:vAlign w:val="center"/>
          </w:tcPr>
          <w:p w14:paraId="00B4EEFA">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10%的回收系数</w:t>
            </w:r>
          </w:p>
        </w:tc>
        <w:tc>
          <w:tcPr>
            <w:tcW w:w="2140" w:type="dxa"/>
            <w:vAlign w:val="center"/>
          </w:tcPr>
          <w:p w14:paraId="0FF81CAA">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0.2296</w:t>
            </w:r>
          </w:p>
        </w:tc>
        <w:tc>
          <w:tcPr>
            <w:tcW w:w="2240" w:type="dxa"/>
            <w:vAlign w:val="center"/>
          </w:tcPr>
          <w:p w14:paraId="2B948116">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0.1874</w:t>
            </w:r>
          </w:p>
        </w:tc>
        <w:tc>
          <w:tcPr>
            <w:tcW w:w="2060" w:type="dxa"/>
            <w:vAlign w:val="center"/>
          </w:tcPr>
          <w:p w14:paraId="58696E1E">
            <w:pPr>
              <w:wordWrap/>
              <w:autoSpaceDE w:val="0"/>
              <w:autoSpaceDN w:val="0"/>
              <w:spacing w:before="0" w:after="0" w:line="360" w:lineRule="atLeast"/>
              <w:ind w:left="0" w:right="0"/>
              <w:jc w:val="both"/>
              <w:textAlignment w:val="auto"/>
              <w:rPr>
                <w:sz w:val="22"/>
              </w:rPr>
            </w:pPr>
            <w:r>
              <w:rPr>
                <w:rFonts w:ascii="宋体" w:hAnsi="宋体" w:eastAsia="宋体" w:cs="宋体"/>
                <w:b w:val="0"/>
                <w:i w:val="0"/>
                <w:color w:val="000000"/>
                <w:sz w:val="22"/>
              </w:rPr>
              <w:t>0.1468</w:t>
            </w:r>
          </w:p>
        </w:tc>
      </w:tr>
    </w:tbl>
    <w:p w14:paraId="57EB29D8">
      <w:pPr>
        <w:wordWrap/>
        <w:autoSpaceDE w:val="0"/>
        <w:autoSpaceDN w:val="0"/>
        <w:spacing w:before="100" w:after="0" w:line="260" w:lineRule="atLeast"/>
        <w:ind w:left="760" w:right="0"/>
        <w:jc w:val="both"/>
        <w:textAlignment w:val="auto"/>
        <w:rPr>
          <w:sz w:val="18"/>
        </w:rPr>
      </w:pPr>
      <w:r>
        <w:rPr>
          <w:rFonts w:ascii="宋体" w:hAnsi="宋体" w:eastAsia="宋体" w:cs="宋体"/>
          <w:b w:val="0"/>
          <w:i w:val="0"/>
          <w:color w:val="000000"/>
          <w:sz w:val="18"/>
        </w:rPr>
        <w:t>[答案]</w:t>
      </w:r>
    </w:p>
    <w:p w14:paraId="26649EDA">
      <w:pPr>
        <w:wordWrap/>
        <w:autoSpaceDE w:val="0"/>
        <w:autoSpaceDN w:val="0"/>
        <w:spacing w:before="0" w:after="0" w:line="440" w:lineRule="atLeast"/>
        <w:ind w:left="660" w:right="480" w:firstLine="100"/>
        <w:jc w:val="both"/>
        <w:textAlignment w:val="auto"/>
        <w:rPr>
          <w:sz w:val="18"/>
        </w:rPr>
      </w:pPr>
      <w:r>
        <w:rPr>
          <w:rFonts w:ascii="宋体" w:hAnsi="宋体" w:eastAsia="宋体" w:cs="宋体"/>
          <w:b w:val="0"/>
          <w:i w:val="0"/>
          <w:color w:val="000000"/>
          <w:sz w:val="18"/>
        </w:rPr>
        <w:t>(1)①因为A方案第三年的累计净现金流量=30000+30000+0-60000=0, 所以该方案包括建设期的静态投资回收期=3</w:t>
      </w:r>
    </w:p>
    <w:p w14:paraId="08FAB432">
      <w:pPr>
        <w:wordWrap/>
        <w:autoSpaceDE w:val="0"/>
        <w:autoSpaceDN w:val="0"/>
        <w:spacing w:before="200" w:after="0" w:line="280" w:lineRule="atLeast"/>
        <w:ind w:left="760" w:right="0"/>
        <w:jc w:val="both"/>
        <w:textAlignment w:val="auto"/>
        <w:rPr>
          <w:sz w:val="18"/>
        </w:rPr>
      </w:pPr>
      <w:r>
        <w:rPr>
          <w:rFonts w:ascii="宋体" w:hAnsi="宋体" w:eastAsia="宋体" w:cs="宋体"/>
          <w:b w:val="0"/>
          <w:i w:val="0"/>
          <w:color w:val="000000"/>
          <w:sz w:val="18"/>
        </w:rPr>
        <w:t>②净现值=折现的净现金流量之和=30344(元)</w:t>
      </w:r>
    </w:p>
    <w:p w14:paraId="11FF1E38">
      <w:pPr>
        <w:wordWrap/>
        <w:autoSpaceDE w:val="0"/>
        <w:autoSpaceDN w:val="0"/>
        <w:spacing w:before="20" w:after="0" w:line="440" w:lineRule="atLeast"/>
        <w:ind w:left="680" w:right="440" w:firstLine="80"/>
        <w:jc w:val="both"/>
        <w:textAlignment w:val="auto"/>
        <w:rPr>
          <w:sz w:val="18"/>
        </w:rPr>
      </w:pPr>
      <w:r>
        <w:rPr>
          <w:rFonts w:ascii="宋体" w:hAnsi="宋体" w:eastAsia="宋体" w:cs="宋体"/>
          <w:b w:val="0"/>
          <w:i w:val="0"/>
          <w:color w:val="000000"/>
          <w:sz w:val="18"/>
        </w:rPr>
        <w:t>(2)对于 A方案由于净现值大于0，包括建设期的投资回收期=3年=6/2，所以该方案完全具备财务可行性；</w:t>
      </w:r>
    </w:p>
    <w:p w14:paraId="64F5BD0F">
      <w:pPr>
        <w:wordWrap/>
        <w:autoSpaceDE w:val="0"/>
        <w:autoSpaceDN w:val="0"/>
        <w:spacing w:before="200" w:after="0" w:line="280" w:lineRule="atLeast"/>
        <w:ind w:left="760" w:right="0"/>
        <w:jc w:val="both"/>
        <w:textAlignment w:val="auto"/>
        <w:rPr>
          <w:sz w:val="18"/>
        </w:rPr>
      </w:pPr>
      <w:r>
        <w:rPr>
          <w:rFonts w:ascii="宋体" w:hAnsi="宋体" w:eastAsia="宋体" w:cs="宋体"/>
          <w:b w:val="0"/>
          <w:i w:val="0"/>
          <w:color w:val="000000"/>
          <w:sz w:val="18"/>
        </w:rPr>
        <w:t>对于B方案由于净现值大于0，包括建设期的静态投资回收期为3.5年小于8/2，所以该方案完全具</w:t>
      </w:r>
      <w:r>
        <w:br w:type="page"/>
      </w:r>
    </w:p>
    <w:p w14:paraId="6CF18E7A">
      <w:pPr>
        <w:wordWrap/>
        <w:autoSpaceDE w:val="0"/>
        <w:autoSpaceDN w:val="0"/>
        <w:spacing w:before="660" w:after="0" w:line="280" w:lineRule="atLeast"/>
        <w:ind w:left="720" w:right="0"/>
        <w:jc w:val="both"/>
        <w:textAlignment w:val="auto"/>
        <w:rPr>
          <w:sz w:val="18"/>
        </w:rPr>
      </w:pPr>
      <w:r>
        <w:rPr>
          <w:rFonts w:ascii="宋体" w:hAnsi="宋体" w:eastAsia="宋体" w:cs="宋体"/>
          <w:b w:val="0"/>
          <w:i w:val="0"/>
          <w:color w:val="000000"/>
          <w:sz w:val="18"/>
        </w:rPr>
        <w:t>备财务可行性；</w:t>
      </w:r>
    </w:p>
    <w:p w14:paraId="25853010">
      <w:pPr>
        <w:wordWrap/>
        <w:autoSpaceDE w:val="0"/>
        <w:autoSpaceDN w:val="0"/>
        <w:spacing w:before="40" w:after="0" w:line="440" w:lineRule="atLeast"/>
        <w:ind w:left="720" w:right="460"/>
        <w:jc w:val="both"/>
        <w:textAlignment w:val="auto"/>
        <w:rPr>
          <w:sz w:val="18"/>
        </w:rPr>
      </w:pPr>
      <w:r>
        <w:rPr>
          <w:rFonts w:ascii="宋体" w:hAnsi="宋体" w:eastAsia="宋体" w:cs="宋体"/>
          <w:b w:val="0"/>
          <w:i w:val="0"/>
          <w:color w:val="000000"/>
          <w:sz w:val="18"/>
        </w:rPr>
        <w:t>对于C方案由于净现值大于0，包括建设期的静态投资回收期为7年大于12/2，所以该方案基本具备财务可行性</w:t>
      </w:r>
    </w:p>
    <w:p w14:paraId="0263A112">
      <w:pPr>
        <w:wordWrap/>
        <w:autoSpaceDE w:val="0"/>
        <w:autoSpaceDN w:val="0"/>
        <w:spacing w:before="180" w:after="0" w:line="280" w:lineRule="atLeast"/>
        <w:ind w:left="720" w:right="0"/>
        <w:jc w:val="both"/>
        <w:textAlignment w:val="auto"/>
        <w:rPr>
          <w:sz w:val="24"/>
        </w:rPr>
      </w:pPr>
      <w:r>
        <w:rPr>
          <w:rFonts w:ascii="宋体" w:hAnsi="宋体" w:eastAsia="宋体" w:cs="宋体"/>
          <w:b w:val="0"/>
          <w:i w:val="0"/>
          <w:color w:val="000000"/>
          <w:sz w:val="18"/>
        </w:rPr>
        <w:t>(3) C方案的年等额净回收额=净现值&gt;</w:t>
      </w:r>
      <w:r>
        <w:rPr>
          <w:rFonts w:ascii="宋体" w:hAnsi="宋体" w:eastAsia="宋体" w:cs="宋体"/>
          <w:sz w:val="24"/>
        </w:rPr>
        <w:t xml:space="preserve">     </w:t>
      </w:r>
      <w:r>
        <w:rPr>
          <w:rFonts w:ascii="宋体" w:hAnsi="宋体" w:eastAsia="宋体" w:cs="宋体"/>
          <w:sz w:val="6"/>
        </w:rPr>
        <w:t xml:space="preserve"> </w:t>
      </w:r>
      <w:r>
        <w:t xml:space="preserve"> </w:t>
      </w:r>
      <m:oMath>
        <m:r>
          <m:rPr/>
          <w:rPr>
            <w:rFonts w:ascii="Cambria Math" w:hAnsi="Cambria Math"/>
            <w:sz w:val="18"/>
            <w:szCs w:val="18"/>
          </w:rPr>
          <m:t>×(AP.10</m:t>
        </m:r>
      </m:oMath>
      <w:r>
        <w:rPr>
          <w:rFonts w:ascii="宋体" w:hAnsi="宋体" w:eastAsia="宋体" w:cs="宋体"/>
          <w:b w:val="0"/>
          <w:i w:val="0"/>
          <w:color w:val="000000"/>
          <w:sz w:val="18"/>
        </w:rPr>
        <w:t>(元)</w:t>
      </w:r>
    </w:p>
    <w:p w14:paraId="52A56BFD">
      <w:pPr>
        <w:wordWrap/>
        <w:autoSpaceDE w:val="0"/>
        <w:autoSpaceDN w:val="0"/>
        <w:spacing w:before="20" w:after="0" w:line="460" w:lineRule="atLeast"/>
        <w:ind w:left="660" w:right="660" w:firstLine="60"/>
        <w:jc w:val="both"/>
        <w:textAlignment w:val="auto"/>
        <w:rPr>
          <w:sz w:val="24"/>
        </w:rPr>
      </w:pPr>
      <w:r>
        <w:rPr>
          <w:rFonts w:ascii="宋体" w:hAnsi="宋体" w:eastAsia="宋体" w:cs="宋体"/>
          <w:b w:val="0"/>
          <w:i w:val="0"/>
          <w:color w:val="000000"/>
          <w:sz w:val="18"/>
        </w:rPr>
        <w:t>(4) 三个方案的最短计算期为6年，所以B方案调整后的净现值=年等额回收额</w:t>
      </w:r>
      <w:r>
        <w:rPr>
          <w:rFonts w:ascii="宋体" w:hAnsi="宋体" w:eastAsia="宋体" w:cs="宋体"/>
          <w:sz w:val="24"/>
        </w:rPr>
        <w:t xml:space="preserve">            </w:t>
      </w:r>
      <w:r>
        <w:t xml:space="preserve"> </w:t>
      </w:r>
      <m:oMath>
        <m:r>
          <m:rPr/>
          <w:rPr>
            <w:rFonts w:ascii="Cambria Math" w:hAnsi="Cambria Math"/>
            <w:sz w:val="18"/>
            <w:szCs w:val="18"/>
          </w:rPr>
          <m:t>×(P/A,10</m:t>
        </m:r>
      </m:oMath>
      <w:r>
        <w:t xml:space="preserve"> </w:t>
      </w:r>
      <m:oMath>
        <m:r>
          <m:rPr/>
          <w:rPr>
            <w:rFonts w:ascii="Cambria Math" w:hAnsi="Cambria Math"/>
            <w:sz w:val="18"/>
            <w:szCs w:val="18"/>
          </w:rPr>
          <m:t>=9370×4.3553=40809</m:t>
        </m:r>
      </m:oMath>
      <w:r>
        <w:rPr>
          <w:rFonts w:ascii="宋体" w:hAnsi="宋体" w:eastAsia="宋体" w:cs="宋体"/>
          <w:b w:val="0"/>
          <w:i w:val="0"/>
          <w:color w:val="000000"/>
          <w:sz w:val="18"/>
        </w:rPr>
        <w:t>(元)</w:t>
      </w:r>
    </w:p>
    <w:p w14:paraId="2B58979C">
      <w:pPr>
        <w:wordWrap/>
        <w:autoSpaceDE w:val="0"/>
        <w:autoSpaceDN w:val="0"/>
        <w:spacing w:before="180" w:after="0" w:line="260" w:lineRule="atLeast"/>
        <w:ind w:left="720" w:right="0"/>
        <w:jc w:val="both"/>
        <w:textAlignment w:val="auto"/>
        <w:rPr>
          <w:sz w:val="18"/>
        </w:rPr>
      </w:pPr>
      <w:r>
        <w:rPr>
          <w:rFonts w:ascii="宋体" w:hAnsi="宋体" w:eastAsia="宋体" w:cs="宋体"/>
          <w:b w:val="0"/>
          <w:i w:val="0"/>
          <w:color w:val="000000"/>
          <w:sz w:val="18"/>
        </w:rPr>
        <w:t>(5) 年等额净回收额法：</w:t>
      </w:r>
    </w:p>
    <w:p w14:paraId="436C5ACF">
      <w:pPr>
        <w:wordWrap/>
        <w:autoSpaceDE w:val="0"/>
        <w:autoSpaceDN w:val="0"/>
        <w:spacing w:before="200" w:after="0" w:line="280" w:lineRule="atLeast"/>
        <w:ind w:left="720" w:right="0"/>
        <w:jc w:val="both"/>
        <w:textAlignment w:val="auto"/>
        <w:rPr>
          <w:sz w:val="24"/>
        </w:rPr>
      </w:pPr>
      <w:r>
        <w:rPr>
          <w:rFonts w:ascii="宋体" w:hAnsi="宋体" w:eastAsia="宋体" w:cs="宋体"/>
          <w:b w:val="0"/>
          <w:i w:val="0"/>
          <w:color w:val="000000"/>
          <w:sz w:val="18"/>
        </w:rPr>
        <w:t>A方案的年等额回收额</w:t>
      </w:r>
      <w:r>
        <w:rPr>
          <w:rFonts w:ascii="宋体" w:hAnsi="宋体" w:eastAsia="宋体" w:cs="宋体"/>
          <w:sz w:val="24"/>
        </w:rPr>
        <w:t xml:space="preserve">   </w:t>
      </w:r>
      <w:r>
        <w:t xml:space="preserve"> </w:t>
      </w:r>
      <m:oMath>
        <m:r>
          <m:rPr/>
          <w:rPr>
            <w:rFonts w:ascii="Cambria Math" w:hAnsi="Cambria Math"/>
            <w:sz w:val="18"/>
            <w:szCs w:val="18"/>
          </w:rPr>
          <m:t>=6967</m:t>
        </m:r>
      </m:oMath>
      <w:r>
        <w:rPr>
          <w:rFonts w:ascii="宋体" w:hAnsi="宋体" w:eastAsia="宋体" w:cs="宋体"/>
          <w:b w:val="0"/>
          <w:i w:val="0"/>
          <w:color w:val="000000"/>
          <w:sz w:val="18"/>
        </w:rPr>
        <w:t>(元)</w:t>
      </w:r>
    </w:p>
    <w:p w14:paraId="680DF475">
      <w:pPr>
        <w:wordWrap/>
        <w:autoSpaceDE w:val="0"/>
        <w:autoSpaceDN w:val="0"/>
        <w:spacing w:before="180" w:after="0" w:line="280" w:lineRule="atLeast"/>
        <w:ind w:left="720" w:right="0"/>
        <w:jc w:val="both"/>
        <w:textAlignment w:val="auto"/>
        <w:rPr>
          <w:sz w:val="24"/>
        </w:rPr>
      </w:pPr>
      <w:r>
        <w:rPr>
          <w:rFonts w:ascii="宋体" w:hAnsi="宋体" w:eastAsia="宋体" w:cs="宋体"/>
          <w:b w:val="0"/>
          <w:i w:val="0"/>
          <w:color w:val="000000"/>
          <w:sz w:val="18"/>
        </w:rPr>
        <w:t>B方案的年等额回收额</w:t>
      </w:r>
      <w:r>
        <w:rPr>
          <w:rFonts w:ascii="宋体" w:hAnsi="宋体" w:eastAsia="宋体" w:cs="宋体"/>
          <w:sz w:val="24"/>
        </w:rPr>
        <w:t xml:space="preserve">   </w:t>
      </w:r>
      <w:r>
        <w:t xml:space="preserve"> </w:t>
      </w:r>
      <m:oMath>
        <m:r>
          <m:rPr/>
          <w:rPr>
            <w:rFonts w:ascii="Cambria Math" w:hAnsi="Cambria Math"/>
            <w:sz w:val="18"/>
            <w:szCs w:val="18"/>
          </w:rPr>
          <m:t>=9370</m:t>
        </m:r>
      </m:oMath>
      <w:r>
        <w:rPr>
          <w:rFonts w:ascii="宋体" w:hAnsi="宋体" w:eastAsia="宋体" w:cs="宋体"/>
          <w:b w:val="0"/>
          <w:i w:val="0"/>
          <w:color w:val="000000"/>
          <w:sz w:val="18"/>
        </w:rPr>
        <w:t>(元)</w:t>
      </w:r>
    </w:p>
    <w:p w14:paraId="0E1DD5A7">
      <w:pPr>
        <w:wordWrap/>
        <w:autoSpaceDE w:val="0"/>
        <w:autoSpaceDN w:val="0"/>
        <w:spacing w:before="180" w:after="0" w:line="280" w:lineRule="atLeast"/>
        <w:ind w:left="720" w:right="0"/>
        <w:jc w:val="both"/>
        <w:textAlignment w:val="auto"/>
        <w:rPr>
          <w:sz w:val="24"/>
        </w:rPr>
      </w:pPr>
      <w:r>
        <w:rPr>
          <w:rFonts w:ascii="宋体" w:hAnsi="宋体" w:eastAsia="宋体" w:cs="宋体"/>
          <w:b w:val="0"/>
          <w:i w:val="0"/>
          <w:color w:val="000000"/>
          <w:sz w:val="18"/>
        </w:rPr>
        <w:t>C方案的年等额回收额</w:t>
      </w:r>
      <w:r>
        <w:rPr>
          <w:rFonts w:ascii="宋体" w:hAnsi="宋体" w:eastAsia="宋体" w:cs="宋体"/>
          <w:sz w:val="24"/>
        </w:rPr>
        <w:t xml:space="preserve">   </w:t>
      </w:r>
      <w:r>
        <w:t xml:space="preserve"> </w:t>
      </w:r>
      <m:oMath>
        <m:r>
          <m:rPr/>
          <w:rPr>
            <w:rFonts w:ascii="Cambria Math" w:hAnsi="Cambria Math"/>
            <w:sz w:val="18"/>
            <w:szCs w:val="18"/>
          </w:rPr>
          <m:t>=10276</m:t>
        </m:r>
      </m:oMath>
      <w:r>
        <w:rPr>
          <w:rFonts w:ascii="宋体" w:hAnsi="宋体" w:eastAsia="宋体" w:cs="宋体"/>
          <w:b w:val="0"/>
          <w:i w:val="0"/>
          <w:color w:val="000000"/>
          <w:sz w:val="18"/>
        </w:rPr>
        <w:t>(元)</w:t>
      </w:r>
    </w:p>
    <w:p w14:paraId="50950D34">
      <w:pPr>
        <w:wordWrap/>
        <w:autoSpaceDE w:val="0"/>
        <w:autoSpaceDN w:val="0"/>
        <w:spacing w:before="220" w:after="0" w:line="260" w:lineRule="atLeast"/>
        <w:ind w:left="720" w:right="0"/>
        <w:jc w:val="both"/>
        <w:textAlignment w:val="auto"/>
        <w:rPr>
          <w:sz w:val="18"/>
        </w:rPr>
      </w:pPr>
      <w:r>
        <w:rPr>
          <w:rFonts w:ascii="宋体" w:hAnsi="宋体" w:eastAsia="宋体" w:cs="宋体"/>
          <w:b w:val="0"/>
          <w:i w:val="0"/>
          <w:color w:val="000000"/>
          <w:sz w:val="18"/>
        </w:rPr>
        <w:t>因为C方案的年等额回收额最大，所以应当选择C方案；</w:t>
      </w:r>
    </w:p>
    <w:p w14:paraId="5CBFE803">
      <w:pPr>
        <w:wordWrap/>
        <w:autoSpaceDE w:val="0"/>
        <w:autoSpaceDN w:val="0"/>
        <w:spacing w:before="220" w:after="0" w:line="260" w:lineRule="atLeast"/>
        <w:ind w:left="720" w:right="0"/>
        <w:jc w:val="both"/>
        <w:textAlignment w:val="auto"/>
        <w:rPr>
          <w:sz w:val="18"/>
        </w:rPr>
      </w:pPr>
      <w:r>
        <w:rPr>
          <w:rFonts w:ascii="宋体" w:hAnsi="宋体" w:eastAsia="宋体" w:cs="宋体"/>
          <w:b w:val="0"/>
          <w:i w:val="0"/>
          <w:color w:val="000000"/>
          <w:sz w:val="18"/>
        </w:rPr>
        <w:t>最短计算期法：</w:t>
      </w:r>
    </w:p>
    <w:p w14:paraId="2A28539B">
      <w:pPr>
        <w:wordWrap/>
        <w:autoSpaceDE w:val="0"/>
        <w:autoSpaceDN w:val="0"/>
        <w:spacing w:before="200" w:after="0" w:line="280" w:lineRule="atLeast"/>
        <w:ind w:left="720" w:right="0"/>
        <w:jc w:val="both"/>
        <w:textAlignment w:val="auto"/>
        <w:rPr>
          <w:sz w:val="24"/>
        </w:rPr>
      </w:pPr>
      <w:r>
        <w:rPr>
          <w:rFonts w:ascii="宋体" w:hAnsi="宋体" w:eastAsia="宋体" w:cs="宋体"/>
          <w:b w:val="0"/>
          <w:i w:val="0"/>
          <w:color w:val="000000"/>
          <w:sz w:val="18"/>
        </w:rPr>
        <w:t>A方案调整后的净现值</w:t>
      </w:r>
      <w:r>
        <w:rPr>
          <w:rFonts w:ascii="宋体" w:hAnsi="宋体" w:eastAsia="宋体" w:cs="宋体"/>
          <w:sz w:val="24"/>
        </w:rPr>
        <w:t xml:space="preserve">   </w:t>
      </w:r>
      <w:r>
        <w:t xml:space="preserve"> </w:t>
      </w:r>
      <m:oMath>
        <m:r>
          <m:rPr/>
          <w:rPr>
            <w:rFonts w:ascii="Cambria Math" w:hAnsi="Cambria Math"/>
            <w:sz w:val="18"/>
            <w:szCs w:val="18"/>
          </w:rPr>
          <m:t>=30344</m:t>
        </m:r>
      </m:oMath>
      <w:r>
        <w:rPr>
          <w:rFonts w:ascii="宋体" w:hAnsi="宋体" w:eastAsia="宋体" w:cs="宋体"/>
          <w:b w:val="0"/>
          <w:i w:val="0"/>
          <w:color w:val="000000"/>
          <w:sz w:val="18"/>
        </w:rPr>
        <w:t>(元)</w:t>
      </w:r>
    </w:p>
    <w:p w14:paraId="30846274">
      <w:pPr>
        <w:wordWrap/>
        <w:autoSpaceDE w:val="0"/>
        <w:autoSpaceDN w:val="0"/>
        <w:spacing w:before="160" w:after="0" w:line="280" w:lineRule="atLeast"/>
        <w:ind w:left="720" w:right="0"/>
        <w:jc w:val="both"/>
        <w:textAlignment w:val="auto"/>
        <w:rPr>
          <w:sz w:val="24"/>
        </w:rPr>
      </w:pPr>
      <w:r>
        <w:rPr>
          <w:rFonts w:ascii="宋体" w:hAnsi="宋体" w:eastAsia="宋体" w:cs="宋体"/>
          <w:b w:val="0"/>
          <w:i w:val="0"/>
          <w:color w:val="000000"/>
          <w:sz w:val="18"/>
        </w:rPr>
        <w:t>B方案调整后的净现值</w:t>
      </w:r>
      <w:r>
        <w:rPr>
          <w:rFonts w:ascii="宋体" w:hAnsi="宋体" w:eastAsia="宋体" w:cs="宋体"/>
          <w:sz w:val="24"/>
        </w:rPr>
        <w:t xml:space="preserve">   </w:t>
      </w:r>
      <w:r>
        <w:t xml:space="preserve"> </w:t>
      </w:r>
      <m:oMath>
        <m:r>
          <m:rPr/>
          <w:rPr>
            <w:rFonts w:ascii="Cambria Math" w:hAnsi="Cambria Math"/>
            <w:sz w:val="18"/>
            <w:szCs w:val="18"/>
          </w:rPr>
          <m:t>=40809</m:t>
        </m:r>
      </m:oMath>
      <w:r>
        <w:rPr>
          <w:rFonts w:ascii="宋体" w:hAnsi="宋体" w:eastAsia="宋体" w:cs="宋体"/>
          <w:b w:val="0"/>
          <w:i w:val="0"/>
          <w:color w:val="000000"/>
          <w:sz w:val="18"/>
        </w:rPr>
        <w:t>(元)</w:t>
      </w:r>
    </w:p>
    <w:p w14:paraId="24629AE5">
      <w:pPr>
        <w:wordWrap/>
        <w:autoSpaceDE w:val="0"/>
        <w:autoSpaceDN w:val="0"/>
        <w:spacing w:before="200" w:after="0" w:line="280" w:lineRule="atLeast"/>
        <w:ind w:left="720" w:right="0"/>
        <w:jc w:val="both"/>
        <w:textAlignment w:val="auto"/>
        <w:rPr>
          <w:sz w:val="24"/>
        </w:rPr>
      </w:pPr>
      <w:r>
        <w:rPr>
          <w:rFonts w:ascii="宋体" w:hAnsi="宋体" w:eastAsia="宋体" w:cs="宋体"/>
          <w:b w:val="0"/>
          <w:i w:val="0"/>
          <w:color w:val="000000"/>
          <w:sz w:val="18"/>
        </w:rPr>
        <w:t>C方案调整后的净现值</w:t>
      </w:r>
      <w:r>
        <w:rPr>
          <w:rFonts w:ascii="宋体" w:hAnsi="宋体" w:eastAsia="宋体" w:cs="宋体"/>
          <w:sz w:val="24"/>
        </w:rPr>
        <w:t xml:space="preserve">   </w:t>
      </w:r>
      <w:r>
        <w:t xml:space="preserve"> </w:t>
      </w:r>
      <m:oMath>
        <m:r>
          <m:rPr/>
          <w:rPr>
            <w:rFonts w:ascii="Cambria Math" w:hAnsi="Cambria Math"/>
            <w:sz w:val="18"/>
            <w:szCs w:val="18"/>
          </w:rPr>
          <m:t>=44755</m:t>
        </m:r>
      </m:oMath>
      <w:r>
        <w:rPr>
          <w:rFonts w:ascii="宋体" w:hAnsi="宋体" w:eastAsia="宋体" w:cs="宋体"/>
          <w:b w:val="0"/>
          <w:i w:val="0"/>
          <w:color w:val="000000"/>
          <w:sz w:val="18"/>
        </w:rPr>
        <w:t>(元)</w:t>
      </w:r>
    </w:p>
    <w:p w14:paraId="32E17606">
      <w:pPr>
        <w:wordWrap/>
        <w:autoSpaceDE w:val="0"/>
        <w:autoSpaceDN w:val="0"/>
        <w:spacing w:before="220" w:after="0" w:line="260" w:lineRule="atLeast"/>
        <w:ind w:left="720" w:right="0"/>
        <w:jc w:val="both"/>
        <w:textAlignment w:val="auto"/>
        <w:rPr>
          <w:sz w:val="18"/>
        </w:rPr>
      </w:pPr>
      <w:r>
        <w:rPr>
          <w:rFonts w:ascii="宋体" w:hAnsi="宋体" w:eastAsia="宋体" w:cs="宋体"/>
          <w:b w:val="0"/>
          <w:i w:val="0"/>
          <w:color w:val="000000"/>
          <w:sz w:val="18"/>
        </w:rPr>
        <w:t>因为C方案调整后的净现值最大，所以应当选择C方案。</w:t>
      </w:r>
    </w:p>
    <w:sectPr>
      <w:pgSz w:w="11880" w:h="16820"/>
      <w:pgMar w:top="800" w:right="800" w:bottom="800" w:left="8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auto"/>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DC069EA"/>
    <w:multiLevelType w:val="singleLevel"/>
    <w:tmpl w:val="9DC069EA"/>
    <w:lvl w:ilvl="0" w:tentative="0">
      <w:start w:val="1"/>
      <w:numFmt w:val="upperLetter"/>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noPunctuationKerning w:val="1"/>
  <w:compat>
    <w:ulTrailSpace/>
    <w:useFELayout/>
    <w:compatSetting w:name="compatibilityMode" w:uri="http://schemas.microsoft.com/office/word" w:val="15"/>
  </w:compat>
  <w:rsids>
    <w:rsidRoot w:val="00000000"/>
    <w:rsid w:val="7DEC0BA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25</Pages>
  <Words>13756</Words>
  <Characters>17003</Characters>
  <TotalTime>0</TotalTime>
  <ScaleCrop>false</ScaleCrop>
  <LinksUpToDate>false</LinksUpToDate>
  <CharactersWithSpaces>19925</CharactersWithSpaces>
  <Application>WPS Office_12.1.0.18912_F1E327BC-269C-435d-A152-05C5408002CA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2024-12-01T13:34:00Z</dcterms:created>
  <dc:creator>Apache POI</dc:creator>
  <cp:lastModifiedBy>鹏程惠农</cp:lastModifiedBy>
  <dcterms:modified xsi:type="dcterms:W3CDTF">2024-12-01T13:45:55Z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9349808F79624C119A80EB6521132448_12</vt:lpwstr>
  </property>
</Properties>
</file>