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style1.xml" ContentType="application/vnd.ms-office.chartstyle+xml"/>
  <Override PartName="/word/charts/style2.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5D5715">
      <w:pPr>
        <w:pStyle w:val="167"/>
        <w:rPr>
          <w:lang w:eastAsia="zh-CN"/>
        </w:rPr>
      </w:pPr>
      <w:bookmarkStart w:id="0" w:name="_Toc517262917"/>
      <w:bookmarkStart w:id="1" w:name="_Toc453597319"/>
      <w:bookmarkStart w:id="2" w:name="_Toc481801204"/>
      <w:bookmarkStart w:id="3" w:name="_Toc438987549"/>
      <w:bookmarkStart w:id="4" w:name="OLE_LINK15"/>
      <w:bookmarkStart w:id="5" w:name="_Toc418070112"/>
      <w:bookmarkStart w:id="6" w:name="_Toc415142861"/>
      <w:bookmarkStart w:id="7" w:name="OLE_LINK24"/>
      <w:bookmarkStart w:id="8" w:name="OLE_LINK40"/>
      <w:bookmarkStart w:id="9" w:name="OLE_LINK39"/>
      <w:bookmarkStart w:id="10" w:name="_Toc415143481"/>
      <w:bookmarkStart w:id="11" w:name="OLE_LINK13"/>
      <w:bookmarkStart w:id="12" w:name="_Toc415818939"/>
      <w:r>
        <w:rPr>
          <w:lang w:eastAsia="zh-CN"/>
        </w:rPr>
        <w:t>汽车eCall备用电池</w:t>
      </w:r>
      <w:r>
        <w:rPr>
          <w:rFonts w:hint="eastAsia"/>
          <w:lang w:eastAsia="zh-CN"/>
        </w:rPr>
        <w:t>全球市场总体规模</w:t>
      </w:r>
    </w:p>
    <w:p w14:paraId="4D38E3C6">
      <w:pPr>
        <w:pStyle w:val="145"/>
        <w:rPr>
          <w:lang w:eastAsia="zh-CN"/>
        </w:rPr>
      </w:pPr>
      <w:r>
        <w:rPr>
          <w:rFonts w:hint="eastAsia"/>
          <w:lang w:eastAsia="zh-CN"/>
        </w:rPr>
        <w:t>据QYResearch调研团队最新报告“全球汽车eCall备用电池市场报告2024-2030”显示，预计2030年全球汽车eCall备用电池市场规模将达到1.1亿美元，未来几年年复合增长率CAGR为11.9%。</w:t>
      </w:r>
    </w:p>
    <w:p w14:paraId="3F6C2722">
      <w:pPr>
        <w:pStyle w:val="148"/>
        <w:rPr>
          <w:lang w:eastAsia="zh-CN"/>
        </w:rPr>
      </w:pPr>
      <w:r>
        <w:rPr>
          <w:lang w:eastAsia="zh-CN"/>
        </w:rPr>
        <w:t>汽车eCall备用电池</w:t>
      </w:r>
      <w:r>
        <w:rPr>
          <w:rFonts w:hint="eastAsia"/>
          <w:lang w:eastAsia="zh-CN"/>
        </w:rPr>
        <w:t>，全球市场总体规模</w:t>
      </w:r>
    </w:p>
    <w:p w14:paraId="33261207">
      <w:pPr>
        <w:pStyle w:val="145"/>
      </w:pPr>
      <w:r>
        <w:drawing>
          <wp:inline distT="0" distB="0" distL="0" distR="0">
            <wp:extent cx="6188710" cy="2954655"/>
            <wp:effectExtent l="0" t="0" r="254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548964BA">
      <w:pPr>
        <w:pStyle w:val="143"/>
        <w:rPr>
          <w:lang w:eastAsia="zh-CN"/>
        </w:rPr>
      </w:pPr>
      <w:r>
        <w:rPr>
          <w:rFonts w:hint="eastAsia"/>
          <w:lang w:eastAsia="zh-CN"/>
        </w:rPr>
        <w:t>如上图表/数据，摘自QYResearch最新报告“全球</w:t>
      </w:r>
      <w:r>
        <w:rPr>
          <w:lang w:eastAsia="zh-CN"/>
        </w:rPr>
        <w:t>汽车eCall备用电池</w:t>
      </w:r>
      <w:r>
        <w:rPr>
          <w:rFonts w:hint="eastAsia"/>
          <w:lang w:eastAsia="zh-CN"/>
        </w:rPr>
        <w:t>市场研究报告2024-2030”</w:t>
      </w:r>
      <w:r>
        <w:rPr>
          <w:lang w:eastAsia="zh-CN"/>
        </w:rPr>
        <w:t>.</w:t>
      </w:r>
    </w:p>
    <w:p w14:paraId="12FD9BEF">
      <w:pPr>
        <w:rPr>
          <w:rFonts w:hint="eastAsia"/>
          <w:lang w:eastAsia="zh-CN"/>
        </w:rPr>
      </w:pPr>
      <w:r>
        <w:rPr>
          <w:rFonts w:hint="eastAsia"/>
          <w:lang w:eastAsia="zh-CN"/>
        </w:rPr>
        <w:t>汽车eCall备用电池是一种辅助电源，可在车辆的主电池在事故中受损或失效时为车辆的 eCall（紧急呼叫）系统提供紧急电源。eCall 系统旨在在发生事故或紧急情况时自动呼叫帮助，向紧急服务提供车辆位置和其</w:t>
      </w:r>
      <w:bookmarkStart w:id="13" w:name="_GoBack"/>
      <w:r>
        <w:rPr>
          <w:rFonts w:hint="eastAsia"/>
          <w:lang w:eastAsia="zh-CN"/>
        </w:rPr>
        <w:t>他相关信息。</w:t>
      </w:r>
    </w:p>
    <w:p w14:paraId="4B0F3E35">
      <w:pPr>
        <w:rPr>
          <w:rFonts w:hint="eastAsia"/>
          <w:lang w:eastAsia="zh-CN"/>
        </w:rPr>
      </w:pPr>
      <w:r>
        <w:t>全球汽车eCall备用电池行业的供应链结构主要包括原材料供应商、电池制造商、汽车厂商以及最终用户。原材料供应商提供电池制造所需的原材料，如正负极材料、电解液、隔膜等；电池制造商将这些原材料加工成成品电池；汽车厂商则将eCall备用电池集成到车辆中，形成完整的eCall系统；最终用户则是广大汽车消费者。</w:t>
      </w:r>
    </w:p>
    <w:bookmarkEnd w:id="13"/>
    <w:p w14:paraId="1221A281">
      <w:pPr>
        <w:pStyle w:val="145"/>
        <w:rPr>
          <w:rFonts w:hint="eastAsia"/>
          <w:lang w:eastAsia="zh-CN"/>
        </w:rPr>
      </w:pPr>
      <w:r>
        <w:drawing>
          <wp:inline distT="0" distB="0" distL="114300" distR="114300">
            <wp:extent cx="2476500" cy="1847850"/>
            <wp:effectExtent l="0" t="0" r="7620" b="11430"/>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10"/>
                    <a:stretch>
                      <a:fillRect/>
                    </a:stretch>
                  </pic:blipFill>
                  <pic:spPr>
                    <a:xfrm>
                      <a:off x="0" y="0"/>
                      <a:ext cx="2476500" cy="1847850"/>
                    </a:xfrm>
                    <a:prstGeom prst="rect">
                      <a:avLst/>
                    </a:prstGeom>
                    <a:noFill/>
                    <a:ln w="9525">
                      <a:noFill/>
                    </a:ln>
                  </pic:spPr>
                </pic:pic>
              </a:graphicData>
            </a:graphic>
          </wp:inline>
        </w:drawing>
      </w:r>
    </w:p>
    <w:p w14:paraId="720E31E2">
      <w:pPr>
        <w:pStyle w:val="148"/>
        <w:rPr>
          <w:lang w:eastAsia="zh-CN"/>
        </w:rPr>
      </w:pPr>
      <w:r>
        <w:rPr>
          <w:rFonts w:hint="eastAsia"/>
          <w:lang w:eastAsia="zh-CN"/>
        </w:rPr>
        <w:t>全球</w:t>
      </w:r>
      <w:r>
        <w:rPr>
          <w:lang w:eastAsia="zh-CN"/>
        </w:rPr>
        <w:t>汽车eCall备用电池</w:t>
      </w:r>
      <w:r>
        <w:rPr>
          <w:rFonts w:hint="eastAsia"/>
          <w:lang w:eastAsia="zh-CN"/>
        </w:rPr>
        <w:t>市场前</w:t>
      </w:r>
      <w:r>
        <w:rPr>
          <w:lang w:eastAsia="zh-CN"/>
        </w:rPr>
        <w:t>6</w:t>
      </w:r>
      <w:r>
        <w:rPr>
          <w:rFonts w:hint="eastAsia"/>
          <w:lang w:eastAsia="zh-CN"/>
        </w:rPr>
        <w:t>强生产商排名及市场占有率（基于2</w:t>
      </w:r>
      <w:r>
        <w:rPr>
          <w:lang w:eastAsia="zh-CN"/>
        </w:rPr>
        <w:t>023</w:t>
      </w:r>
      <w:r>
        <w:rPr>
          <w:rFonts w:hint="eastAsia"/>
          <w:lang w:eastAsia="zh-CN"/>
        </w:rPr>
        <w:t>年调研数据；目前最新数据以本公司最新调研数据为准）</w:t>
      </w:r>
    </w:p>
    <w:p w14:paraId="773AFA33">
      <w:pPr>
        <w:widowControl/>
        <w:topLinePunct w:val="0"/>
        <w:spacing w:after="0"/>
        <w:jc w:val="center"/>
        <w:rPr>
          <w:rFonts w:ascii="宋体" w:hAnsi="宋体" w:cs="宋体"/>
          <w:kern w:val="0"/>
          <w:sz w:val="24"/>
          <w:szCs w:val="24"/>
        </w:rPr>
      </w:pPr>
      <w:r>
        <w:drawing>
          <wp:inline distT="0" distB="0" distL="0" distR="0">
            <wp:extent cx="3771900" cy="5991225"/>
            <wp:effectExtent l="0" t="0" r="0" b="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04A43543">
      <w:pPr>
        <w:pStyle w:val="143"/>
        <w:rPr>
          <w:lang w:eastAsia="zh-CN"/>
        </w:rPr>
      </w:pPr>
      <w:r>
        <w:rPr>
          <w:rFonts w:hint="eastAsia"/>
          <w:lang w:eastAsia="zh-CN"/>
        </w:rPr>
        <w:t>如上图表/数据，摘自QYResearch报告“全球</w:t>
      </w:r>
      <w:r>
        <w:rPr>
          <w:lang w:eastAsia="zh-CN"/>
        </w:rPr>
        <w:t>汽车eCall备用电池</w:t>
      </w:r>
      <w:r>
        <w:rPr>
          <w:rFonts w:hint="eastAsia"/>
          <w:lang w:eastAsia="zh-CN"/>
        </w:rPr>
        <w:t>市场研究报告2024-2030”，排名基于2</w:t>
      </w:r>
      <w:r>
        <w:rPr>
          <w:lang w:eastAsia="zh-CN"/>
        </w:rPr>
        <w:t>023</w:t>
      </w:r>
      <w:r>
        <w:rPr>
          <w:rFonts w:hint="eastAsia"/>
          <w:lang w:eastAsia="zh-CN"/>
        </w:rPr>
        <w:t>数据。目前最新数据，以本公司最新调研数据为准。</w:t>
      </w:r>
    </w:p>
    <w:p w14:paraId="6E466FB3">
      <w:pPr>
        <w:pStyle w:val="145"/>
        <w:rPr>
          <w:lang w:eastAsia="zh-CN"/>
        </w:rPr>
      </w:pPr>
      <w:r>
        <w:rPr>
          <w:rFonts w:hint="eastAsia"/>
          <w:lang w:eastAsia="zh-CN"/>
        </w:rPr>
        <w:t>根据QYResearch头部企业研究中心调研，全球范围内汽车eCall备用电池生产商主要包括FDK、VARTA AG、Panasonic、GP Batteries等。2023年，全球前三大厂商占有大约70.0%的市场份额。</w:t>
      </w:r>
    </w:p>
    <w:p w14:paraId="41C3AE68">
      <w:pPr>
        <w:pStyle w:val="145"/>
        <w:rPr>
          <w:rFonts w:hint="eastAsia"/>
          <w:lang w:eastAsia="zh-CN"/>
        </w:rPr>
      </w:pPr>
      <w:r>
        <w:rPr>
          <w:rFonts w:hint="eastAsia"/>
          <w:lang w:eastAsia="zh-CN"/>
        </w:rPr>
        <w:t>就产品类型而言，目前镍氢电池是最主要的细分产品，占据大约87.6%的份额。</w:t>
      </w:r>
    </w:p>
    <w:p w14:paraId="4020B357">
      <w:pPr>
        <w:pStyle w:val="145"/>
        <w:rPr>
          <w:lang w:eastAsia="zh-CN"/>
        </w:rPr>
      </w:pPr>
      <w:r>
        <w:rPr>
          <w:rFonts w:hint="eastAsia"/>
          <w:lang w:eastAsia="zh-CN"/>
        </w:rPr>
        <w:t>就产品应用而言，目前乘用车是最主要的需求来源，占据大约90.0%的份额。</w:t>
      </w:r>
    </w:p>
    <w:p w14:paraId="418CECD8">
      <w:pPr>
        <w:pStyle w:val="145"/>
        <w:rPr>
          <w:lang w:eastAsia="zh-CN"/>
        </w:rPr>
      </w:pPr>
      <w:r>
        <w:rPr>
          <w:rFonts w:hint="eastAsia"/>
          <w:lang w:eastAsia="zh-CN"/>
        </w:rPr>
        <w:t>主要驱动因素</w:t>
      </w:r>
      <w:r>
        <w:rPr>
          <w:lang w:eastAsia="zh-CN"/>
        </w:rPr>
        <w:t>:</w:t>
      </w:r>
    </w:p>
    <w:p w14:paraId="57F71F1B">
      <w:pPr>
        <w:pStyle w:val="145"/>
        <w:rPr>
          <w:rFonts w:hint="eastAsia"/>
          <w:lang w:eastAsia="zh-CN"/>
        </w:rPr>
      </w:pPr>
      <w:r>
        <w:rPr>
          <w:rFonts w:hint="eastAsia"/>
          <w:lang w:eastAsia="zh-CN"/>
        </w:rPr>
        <w:t>消费者对安全功能的需求：消费者在购买新车时越来越重视车辆的安全功能。包含备用电池的eCall系统是一项关键的安全功能，可以在发生事故时挽救生命。</w:t>
      </w:r>
    </w:p>
    <w:p w14:paraId="3E714007">
      <w:pPr>
        <w:pStyle w:val="145"/>
        <w:rPr>
          <w:lang w:eastAsia="zh-CN"/>
        </w:rPr>
      </w:pPr>
      <w:r>
        <w:rPr>
          <w:rFonts w:hint="eastAsia"/>
          <w:lang w:eastAsia="zh-CN"/>
        </w:rPr>
        <w:t>汽车产量上升：全球汽车产量和销量的增长直接影响了对eCall系统和备用电池的需求。</w:t>
      </w:r>
    </w:p>
    <w:p w14:paraId="3BED2615">
      <w:pPr>
        <w:pStyle w:val="145"/>
        <w:rPr>
          <w:rFonts w:hint="eastAsia"/>
          <w:lang w:eastAsia="zh-CN"/>
        </w:rPr>
      </w:pPr>
    </w:p>
    <w:p w14:paraId="446A06E2">
      <w:pPr>
        <w:pStyle w:val="145"/>
        <w:rPr>
          <w:lang w:eastAsia="zh-CN"/>
        </w:rPr>
      </w:pPr>
      <w:r>
        <w:rPr>
          <w:rFonts w:hint="eastAsia"/>
          <w:lang w:eastAsia="zh-CN"/>
        </w:rPr>
        <w:t>主要阻碍因素</w:t>
      </w:r>
      <w:r>
        <w:rPr>
          <w:lang w:eastAsia="zh-CN"/>
        </w:rPr>
        <w:t>:</w:t>
      </w:r>
    </w:p>
    <w:p w14:paraId="7448F3A0">
      <w:pPr>
        <w:pStyle w:val="145"/>
        <w:rPr>
          <w:rFonts w:hint="eastAsia"/>
          <w:lang w:eastAsia="zh-CN"/>
        </w:rPr>
      </w:pPr>
      <w:r>
        <w:rPr>
          <w:rFonts w:hint="eastAsia"/>
          <w:lang w:eastAsia="zh-CN"/>
        </w:rPr>
        <w:t>可靠性问题：备用电池的任何故障都可能影响eCall系统的功能，从而引发对其可靠性和有效性的担忧。</w:t>
      </w:r>
    </w:p>
    <w:p w14:paraId="3296E651">
      <w:pPr>
        <w:pStyle w:val="145"/>
        <w:rPr>
          <w:lang w:eastAsia="zh-CN"/>
        </w:rPr>
      </w:pPr>
      <w:r>
        <w:rPr>
          <w:rFonts w:hint="eastAsia"/>
          <w:lang w:eastAsia="zh-CN"/>
        </w:rPr>
        <w:t>采用率缓慢：在法律未强制要求使用eCall系统的地区，采用率可能会较慢，从而影响市场增长。</w:t>
      </w:r>
    </w:p>
    <w:p w14:paraId="5D32507E">
      <w:pPr>
        <w:pStyle w:val="145"/>
        <w:rPr>
          <w:rFonts w:hint="eastAsia"/>
          <w:lang w:eastAsia="zh-CN"/>
        </w:rPr>
      </w:pPr>
    </w:p>
    <w:p w14:paraId="620E7F93">
      <w:pPr>
        <w:pStyle w:val="145"/>
        <w:rPr>
          <w:lang w:eastAsia="zh-CN"/>
        </w:rPr>
      </w:pPr>
      <w:r>
        <w:rPr>
          <w:rFonts w:hint="eastAsia"/>
          <w:lang w:eastAsia="zh-CN"/>
        </w:rPr>
        <w:t>行业发展机遇</w:t>
      </w:r>
      <w:r>
        <w:rPr>
          <w:lang w:eastAsia="zh-CN"/>
        </w:rPr>
        <w:t>:</w:t>
      </w:r>
    </w:p>
    <w:p w14:paraId="637FA55D">
      <w:pPr>
        <w:pStyle w:val="145"/>
        <w:rPr>
          <w:rFonts w:hint="eastAsia"/>
          <w:lang w:eastAsia="zh-CN"/>
        </w:rPr>
      </w:pPr>
      <w:r>
        <w:rPr>
          <w:rFonts w:hint="eastAsia"/>
          <w:lang w:eastAsia="zh-CN"/>
        </w:rPr>
        <w:t>监管采用：随着越来越多的国家采用与欧盟eCall规定类似的法规，新兴市场将出现巨大的增长机会。公司可以通过在这些地区建立早期业务和合作伙伴关系来利用这些法规。</w:t>
      </w:r>
    </w:p>
    <w:p w14:paraId="32F7C87D">
      <w:pPr>
        <w:pStyle w:val="145"/>
        <w:rPr>
          <w:rFonts w:hint="eastAsia"/>
          <w:lang w:eastAsia="zh-CN"/>
        </w:rPr>
      </w:pPr>
      <w:r>
        <w:rPr>
          <w:rFonts w:hint="eastAsia"/>
          <w:lang w:eastAsia="zh-CN"/>
        </w:rPr>
        <w:t>经济增长：随着新兴市场的可支配收入增加和汽车保有量增加，对包括eCall系统在内的先进车辆安全功能的需求日益增长。</w:t>
      </w:r>
    </w:p>
    <w:p w14:paraId="4116935C">
      <w:pPr>
        <w:pStyle w:val="145"/>
        <w:rPr>
          <w:lang w:val="en-US" w:eastAsia="zh-CN"/>
        </w:rPr>
      </w:pPr>
      <w:r>
        <w:rPr>
          <w:rFonts w:hint="eastAsia"/>
          <w:lang w:eastAsia="zh-CN"/>
        </w:rPr>
        <w:t>先进电池技术：固态电池等新型电池技术的开发，可提供更高的能量密度和更高的安全性，为制造商提供卓越的eCall备用电池解决方案创造机会。</w:t>
      </w:r>
      <w:bookmarkEnd w:id="0"/>
      <w:bookmarkEnd w:id="1"/>
      <w:bookmarkEnd w:id="2"/>
      <w:bookmarkEnd w:id="3"/>
      <w:bookmarkEnd w:id="4"/>
      <w:bookmarkEnd w:id="5"/>
      <w:bookmarkEnd w:id="6"/>
      <w:bookmarkEnd w:id="7"/>
      <w:bookmarkEnd w:id="8"/>
      <w:bookmarkEnd w:id="9"/>
      <w:bookmarkEnd w:id="10"/>
      <w:bookmarkEnd w:id="11"/>
      <w:bookmarkEnd w:id="12"/>
    </w:p>
    <w:p w14:paraId="05CB6500">
      <w:pPr>
        <w:pStyle w:val="145"/>
        <w:rPr>
          <w:lang w:eastAsia="zh-CN"/>
        </w:rPr>
      </w:pPr>
    </w:p>
    <w:p w14:paraId="7559775F">
      <w:pPr>
        <w:pStyle w:val="167"/>
        <w:rPr>
          <w:lang w:eastAsia="zh-CN"/>
        </w:rPr>
      </w:pPr>
      <w:r>
        <w:rPr>
          <w:lang w:eastAsia="zh-CN"/>
        </w:rPr>
        <w:t>QYResearch</w:t>
      </w:r>
      <w:r>
        <w:rPr>
          <w:rFonts w:hint="eastAsia"/>
          <w:lang w:eastAsia="zh-CN"/>
        </w:rPr>
        <w:t>企业简介</w:t>
      </w:r>
    </w:p>
    <w:p w14:paraId="07E0AC7F">
      <w:pPr>
        <w:pStyle w:val="145"/>
        <w:rPr>
          <w:lang w:eastAsia="zh-CN"/>
        </w:rPr>
      </w:pPr>
      <w:r>
        <w:rPr>
          <w:lang w:val="en-US" w:eastAsia="zh-CN"/>
        </w:rPr>
        <w:drawing>
          <wp:inline distT="0" distB="0" distL="0" distR="0">
            <wp:extent cx="1218565" cy="551815"/>
            <wp:effectExtent l="0" t="0" r="635" b="635"/>
            <wp:docPr id="677163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16341" name="图片 1"/>
                    <pic:cNvPicPr>
                      <a:picLocks noChangeAspect="1"/>
                    </pic:cNvPicPr>
                  </pic:nvPicPr>
                  <pic:blipFill>
                    <a:blip r:embed="rId12"/>
                    <a:stretch>
                      <a:fillRect/>
                    </a:stretch>
                  </pic:blipFill>
                  <pic:spPr>
                    <a:xfrm>
                      <a:off x="0" y="0"/>
                      <a:ext cx="1219048" cy="552381"/>
                    </a:xfrm>
                    <a:prstGeom prst="rect">
                      <a:avLst/>
                    </a:prstGeom>
                  </pic:spPr>
                </pic:pic>
              </a:graphicData>
            </a:graphic>
          </wp:inline>
        </w:drawing>
      </w:r>
    </w:p>
    <w:p w14:paraId="044563DD">
      <w:pPr>
        <w:pStyle w:val="145"/>
        <w:rPr>
          <w:lang w:eastAsia="zh-CN"/>
        </w:rPr>
      </w:pPr>
      <w:r>
        <w:rPr>
          <w:rFonts w:hint="eastAsia"/>
          <w:lang w:eastAsia="zh-CN"/>
        </w:rPr>
        <w:t>QYResearch（北京恒州博智国际信息咨询有限公司）成立于2007年，总部位于美国洛杉矶和中国北京。经过连续</w:t>
      </w:r>
      <w:r>
        <w:rPr>
          <w:lang w:eastAsia="zh-CN"/>
        </w:rPr>
        <w:t>17</w:t>
      </w:r>
      <w:r>
        <w:rPr>
          <w:rFonts w:hint="eastAsia"/>
          <w:lang w:eastAsia="zh-CN"/>
        </w:rPr>
        <w:t>年多的沉淀，QYResearch已成长为全球知名的、面向全球客户提供细分行业调研服务的领先咨询机构，专注为企业提供专业的市场调查报告、行业研究报告、可行性研究、IPO咨询、商业计划书、制造业单项冠军申请和专精特新“小巨人”申请、市占率证明等服务。业务遍及世界160多个国家，在全球30多个国家有固定营销合作伙伴，在美国、日本、韩国、印度等有分支机构，在国内主要城市北京、广州、长沙、石家庄、重庆、武汉、成都、山西大同、太原、昆明、日照等地设有办公室和专业研究团队。</w:t>
      </w:r>
    </w:p>
    <w:p w14:paraId="74641357">
      <w:pPr>
        <w:pStyle w:val="145"/>
        <w:rPr>
          <w:lang w:eastAsia="zh-CN"/>
        </w:rPr>
      </w:pPr>
      <w:r>
        <w:rPr>
          <w:rFonts w:hint="eastAsia"/>
          <w:lang w:eastAsia="zh-CN"/>
        </w:rPr>
        <w:t>QYResearch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p>
    <w:p w14:paraId="07A95001">
      <w:pPr>
        <w:pStyle w:val="145"/>
        <w:rPr>
          <w:lang w:eastAsia="zh-CN"/>
        </w:rPr>
      </w:pPr>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MDYzNTE3ZmJhYmZjY2ZiNzUxNTI1ZTRkNzNkYTA1OTIifQ=="/>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058"/>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2E9"/>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0A4"/>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98E"/>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11A"/>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77"/>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57AD77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sdException w:uiPriority="39" w:semiHidden="0" w:name="toc 5"/>
    <w:lsdException w:qFormat="1" w:uiPriority="39" w:semiHidden="0" w:name="toc 6"/>
    <w:lsdException w:qFormat="1" w:uiPriority="39" w:semiHidden="0" w:name="toc 7"/>
    <w:lsdException w:qFormat="1" w:uiPriority="39" w:semiHidden="0" w:name="toc 8"/>
    <w:lsdException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nhideWhenUsed="0" w:uiPriority="0" w:semiHidden="0" w:name="Table Classic 1"/>
    <w:lsdException w:uiPriority="99" w:name="Table Classic 2"/>
    <w:lsdException w:uiPriority="99" w:name="Table Classic 3"/>
    <w:lsdException w:uiPriority="99" w:name="Table Classic 4"/>
    <w:lsdException w:uiPriority="99" w:name="Table Colorful 1"/>
    <w:lsdException w:unhideWhenUsed="0" w:uiPriority="0" w:semiHidden="0" w:name="Table Colorful 2"/>
    <w:lsdException w:uiPriority="99" w:name="Table Colorful 3"/>
    <w:lsdException w:uiPriority="99" w:name="Table Columns 1"/>
    <w:lsdException w:qFormat="1" w:unhideWhenUsed="0" w:uiPriority="0" w:semiHidden="0" w:name="Table Columns 2"/>
    <w:lsdException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uiPriority w:val="99"/>
    <w:rPr>
      <w:rFonts w:cs="Arial"/>
      <w:kern w:val="0"/>
      <w:sz w:val="18"/>
      <w:szCs w:val="18"/>
      <w:lang w:eastAsia="en-US"/>
    </w:rPr>
  </w:style>
  <w:style w:type="paragraph" w:styleId="21">
    <w:name w:val="footer"/>
    <w:basedOn w:val="1"/>
    <w:link w:val="74"/>
    <w:unhideWhenUsed/>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uiPriority w:val="99"/>
    <w:rPr>
      <w:sz w:val="18"/>
      <w:szCs w:val="18"/>
    </w:rPr>
  </w:style>
  <w:style w:type="character" w:customStyle="1" w:styleId="75">
    <w:name w:val="标题 1 字符"/>
    <w:basedOn w:val="67"/>
    <w:uiPriority w:val="9"/>
    <w:rPr>
      <w:rFonts w:ascii="Times New Roman" w:hAnsi="Times New Roman" w:eastAsia="Times New Roman" w:cs="Times New Roman"/>
      <w:b/>
      <w:bCs/>
      <w:kern w:val="44"/>
      <w:sz w:val="44"/>
      <w:szCs w:val="44"/>
    </w:rPr>
  </w:style>
  <w:style w:type="character" w:customStyle="1" w:styleId="76">
    <w:name w:val="标题 2 字符"/>
    <w:basedOn w:val="67"/>
    <w:uiPriority w:val="9"/>
    <w:rPr>
      <w:rFonts w:asciiTheme="majorHAnsi" w:hAnsiTheme="majorHAnsi" w:eastAsiaTheme="majorEastAsia" w:cstheme="majorBidi"/>
      <w:b/>
      <w:bCs/>
      <w:sz w:val="32"/>
      <w:szCs w:val="32"/>
    </w:rPr>
  </w:style>
  <w:style w:type="character" w:customStyle="1" w:styleId="77">
    <w:name w:val="标题 3 字符"/>
    <w:basedOn w:val="67"/>
    <w:uiPriority w:val="9"/>
    <w:rPr>
      <w:rFonts w:ascii="Times New Roman" w:hAnsi="Times New Roman" w:eastAsia="Times New Roman" w:cs="Times New Roman"/>
      <w:b/>
      <w:bCs/>
      <w:sz w:val="32"/>
      <w:szCs w:val="32"/>
    </w:rPr>
  </w:style>
  <w:style w:type="character" w:customStyle="1" w:styleId="78">
    <w:name w:val="标题 4 字符"/>
    <w:basedOn w:val="67"/>
    <w:uiPriority w:val="9"/>
    <w:rPr>
      <w:rFonts w:asciiTheme="majorHAnsi" w:hAnsiTheme="majorHAnsi" w:eastAsiaTheme="majorEastAsia" w:cstheme="majorBidi"/>
      <w:b/>
      <w:bCs/>
      <w:sz w:val="28"/>
      <w:szCs w:val="28"/>
    </w:rPr>
  </w:style>
  <w:style w:type="character" w:customStyle="1" w:styleId="79">
    <w:name w:val="标题 5 字符"/>
    <w:basedOn w:val="67"/>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uiPriority w:val="9"/>
    <w:rPr>
      <w:rFonts w:ascii="Frutiger" w:hAnsi="Frutiger" w:eastAsia="宋体" w:cs="Calibri"/>
      <w:b/>
      <w:color w:val="FF8200"/>
      <w:kern w:val="0"/>
      <w:sz w:val="44"/>
      <w:szCs w:val="32"/>
      <w:lang w:val="en-IN" w:eastAsia="en-US"/>
    </w:rPr>
  </w:style>
  <w:style w:type="character" w:customStyle="1" w:styleId="82">
    <w:name w:val="标题 2 字符1"/>
    <w:link w:val="3"/>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uiPriority w:val="9"/>
    <w:rPr>
      <w:rFonts w:ascii="Frutiger" w:hAnsi="Frutiger" w:eastAsia="宋体"/>
      <w:b/>
      <w:bCs/>
      <w:sz w:val="28"/>
      <w:szCs w:val="28"/>
    </w:rPr>
  </w:style>
  <w:style w:type="character" w:customStyle="1" w:styleId="86">
    <w:name w:val="标题 6 字符1"/>
    <w:link w:val="7"/>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uiPriority w:val="0"/>
    <w:pPr>
      <w:ind w:left="420" w:hanging="420"/>
    </w:pPr>
    <w:rPr>
      <w:rFonts w:cs="宋体"/>
      <w:b/>
      <w:bCs/>
      <w:color w:val="FFFFFF"/>
      <w:szCs w:val="20"/>
    </w:rPr>
  </w:style>
  <w:style w:type="character" w:customStyle="1" w:styleId="89">
    <w:name w:val="页眉 Char"/>
    <w:uiPriority w:val="0"/>
    <w:rPr>
      <w:rFonts w:ascii="Arial Unicode MS" w:hAnsi="Arial Unicode MS" w:eastAsia="微软雅黑"/>
      <w:kern w:val="2"/>
      <w:sz w:val="18"/>
      <w:szCs w:val="22"/>
    </w:rPr>
  </w:style>
  <w:style w:type="character" w:customStyle="1" w:styleId="90">
    <w:name w:val="页脚 Char"/>
    <w:uiPriority w:val="99"/>
    <w:rPr>
      <w:rFonts w:ascii="Arial Unicode MS" w:hAnsi="Arial Unicode MS" w:eastAsia="微软雅黑"/>
      <w:kern w:val="2"/>
      <w:sz w:val="18"/>
      <w:szCs w:val="22"/>
    </w:rPr>
  </w:style>
  <w:style w:type="character" w:customStyle="1" w:styleId="91">
    <w:name w:val="文档结构图 字符1"/>
    <w:link w:val="11"/>
    <w:uiPriority w:val="0"/>
    <w:rPr>
      <w:rFonts w:eastAsia="Times New Roman"/>
      <w:szCs w:val="21"/>
      <w:shd w:val="clear" w:color="auto" w:fill="000080"/>
    </w:rPr>
  </w:style>
  <w:style w:type="character" w:customStyle="1" w:styleId="92">
    <w:name w:val="文档结构图 字符"/>
    <w:basedOn w:val="67"/>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uiPriority w:val="10"/>
    <w:rPr>
      <w:rFonts w:ascii="Cambria" w:hAnsi="Cambria" w:eastAsia="宋体" w:cs="Times New Roman"/>
      <w:b/>
      <w:bCs/>
      <w:sz w:val="32"/>
      <w:szCs w:val="32"/>
    </w:rPr>
  </w:style>
  <w:style w:type="paragraph" w:customStyle="1" w:styleId="99">
    <w:name w:val="Revision"/>
    <w:hidden/>
    <w:semiHidden/>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uiPriority w:val="11"/>
    <w:rPr>
      <w:b/>
      <w:bCs/>
      <w:kern w:val="28"/>
      <w:sz w:val="32"/>
      <w:szCs w:val="32"/>
    </w:rPr>
  </w:style>
  <w:style w:type="character" w:customStyle="1" w:styleId="101">
    <w:name w:val="副标题 字符1"/>
    <w:link w:val="26"/>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uiPriority w:val="0"/>
    <w:rPr>
      <w:rFonts w:ascii="宋体" w:hAnsi="Courier New" w:eastAsia="Times New Roman" w:cs="Courier New"/>
      <w:szCs w:val="21"/>
    </w:rPr>
  </w:style>
  <w:style w:type="table" w:customStyle="1" w:styleId="109">
    <w:name w:val="网格表 4 - 着色 12"/>
    <w:basedOn w:val="34"/>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目录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hart" Target="charts/chart1.xml"/><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4.png"/><Relationship Id="rId11" Type="http://schemas.openxmlformats.org/officeDocument/2006/relationships/chart" Target="charts/chart2.xml"/><Relationship Id="rId10" Type="http://schemas.openxmlformats.org/officeDocument/2006/relationships/image" Target="media/image3.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4" Type="http://schemas.microsoft.com/office/2011/relationships/chartColorStyle" Target="colors1.xml"/><Relationship Id="rId3" Type="http://schemas.microsoft.com/office/2011/relationships/chartStyle" Target="style1.xml"/><Relationship Id="rId2" Type="http://schemas.openxmlformats.org/officeDocument/2006/relationships/chartUserShapes" Target="../drawings/drawing1.xml"/><Relationship Id="rId1" Type="http://schemas.openxmlformats.org/officeDocument/2006/relationships/oleObject" Target="file:///C:\Users\hengzhoubz\Desktop\&#35266;&#28857;&#25968;&#25454;&#22270;&#34920;&#27169;&#26495;-&#27169;&#26495;%2020240426%20&#20026;&#20934;.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hengzhoubz\Desktop\&#35266;&#28857;&#25968;&#25454;&#22270;&#34920;&#27169;&#26495;-&#27169;&#26495;%2020240426%20&#20026;&#20934;.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Global Market Size ($ Mn)</a:t>
            </a:r>
            <a:endParaRPr lang="en-US"/>
          </a:p>
        </c:rich>
      </c:tx>
      <c:layout/>
      <c:overlay val="0"/>
      <c:spPr>
        <a:noFill/>
        <a:ln>
          <a:noFill/>
        </a:ln>
        <a:effectLst/>
      </c:spPr>
    </c:title>
    <c:autoTitleDeleted val="0"/>
    <c:plotArea>
      <c:layout>
        <c:manualLayout>
          <c:layoutTarget val="inner"/>
          <c:xMode val="edge"/>
          <c:yMode val="edge"/>
          <c:x val="0.0333680629718612"/>
          <c:y val="0.131440849673203"/>
          <c:w val="0.937283950617284"/>
          <c:h val="0.793030392156863"/>
        </c:manualLayout>
      </c:layout>
      <c:barChart>
        <c:barDir val="col"/>
        <c:grouping val="stacked"/>
        <c:varyColors val="0"/>
        <c:ser>
          <c:idx val="0"/>
          <c:order val="0"/>
          <c:tx>
            <c:strRef>
              <c:f>全球总体!$R$7</c:f>
              <c:strCache>
                <c:ptCount val="1"/>
                <c:pt idx="0">
                  <c:v>Global Market Size ($ Mn)</c:v>
                </c:pt>
              </c:strCache>
            </c:strRef>
          </c:tx>
          <c:spPr>
            <a:solidFill>
              <a:srgbClr val="002060"/>
            </a:solidFill>
            <a:ln>
              <a:noFill/>
            </a:ln>
            <a:effectLst/>
          </c:spPr>
          <c:invertIfNegative val="0"/>
          <c:dLbls>
            <c:delete val="1"/>
          </c:dLbls>
          <c:cat>
            <c:numRef>
              <c:f>全球总体!$S$6:$U$6</c:f>
              <c:numCache>
                <c:formatCode>General</c:formatCode>
                <c:ptCount val="3"/>
                <c:pt idx="0">
                  <c:v>2019</c:v>
                </c:pt>
                <c:pt idx="1">
                  <c:v>2024</c:v>
                </c:pt>
                <c:pt idx="2">
                  <c:v>2030</c:v>
                </c:pt>
              </c:numCache>
            </c:numRef>
          </c:cat>
          <c:val>
            <c:numRef>
              <c:f>全球总体!$S$7:$U$7</c:f>
              <c:numCache>
                <c:formatCode>#,##0_ </c:formatCode>
                <c:ptCount val="3"/>
                <c:pt idx="0">
                  <c:v>42.8</c:v>
                </c:pt>
                <c:pt idx="1">
                  <c:v>58.24</c:v>
                </c:pt>
                <c:pt idx="2">
                  <c:v>113.48</c:v>
                </c:pt>
              </c:numCache>
            </c:numRef>
          </c:val>
        </c:ser>
        <c:dLbls>
          <c:showLegendKey val="0"/>
          <c:showVal val="0"/>
          <c:showCatName val="0"/>
          <c:showSerName val="0"/>
          <c:showPercent val="0"/>
          <c:showBubbleSize val="0"/>
        </c:dLbls>
        <c:gapWidth val="219"/>
        <c:overlap val="100"/>
        <c:serLines>
          <c:spPr>
            <a:ln w="15875" cap="sq" cmpd="sng" algn="ctr">
              <a:solidFill>
                <a:srgbClr val="002060"/>
              </a:solidFill>
              <a:round/>
              <a:headEnd type="triangle"/>
            </a:ln>
            <a:effectLst/>
          </c:spPr>
        </c:serLines>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1957134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宋体" panose="02010600030101010101" charset="-122"/>
                <a:cs typeface="+mn-cs"/>
              </a:defRPr>
            </a:pPr>
            <a:r>
              <a:rPr lang="zh-CN" sz="1100"/>
              <a:t>全球市场主要企业排名</a:t>
            </a:r>
            <a:endParaRPr lang="en-US" sz="1100"/>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企业收入!$I$1</c:f>
              <c:strCache>
                <c:ptCount val="1"/>
                <c:pt idx="0">
                  <c:v>2023</c:v>
                </c:pt>
              </c:strCache>
            </c:strRef>
          </c:tx>
          <c:spPr>
            <a:solidFill>
              <a:srgbClr val="002060"/>
            </a:solidFill>
          </c:spPr>
          <c:invertIfNegative val="0"/>
          <c:dPt>
            <c:idx val="0"/>
            <c:invertIfNegative val="0"/>
            <c:bubble3D val="0"/>
            <c:spPr>
              <a:solidFill>
                <a:srgbClr val="002060"/>
              </a:solidFill>
              <a:ln>
                <a:noFill/>
              </a:ln>
              <a:effectLst/>
            </c:spPr>
          </c:dPt>
          <c:dPt>
            <c:idx val="1"/>
            <c:invertIfNegative val="0"/>
            <c:bubble3D val="0"/>
            <c:spPr>
              <a:solidFill>
                <a:srgbClr val="002060"/>
              </a:solidFill>
              <a:ln>
                <a:noFill/>
              </a:ln>
              <a:effectLst/>
            </c:spPr>
          </c:dPt>
          <c:dPt>
            <c:idx val="2"/>
            <c:invertIfNegative val="0"/>
            <c:bubble3D val="0"/>
            <c:spPr>
              <a:solidFill>
                <a:srgbClr val="002060"/>
              </a:solidFill>
              <a:ln>
                <a:noFill/>
              </a:ln>
              <a:effectLst/>
            </c:spPr>
          </c:dPt>
          <c:dPt>
            <c:idx val="3"/>
            <c:invertIfNegative val="0"/>
            <c:bubble3D val="0"/>
            <c:spPr>
              <a:solidFill>
                <a:srgbClr val="002060"/>
              </a:solidFill>
              <a:ln>
                <a:noFill/>
              </a:ln>
              <a:effectLst/>
            </c:spPr>
          </c:dPt>
          <c:dPt>
            <c:idx val="4"/>
            <c:invertIfNegative val="0"/>
            <c:bubble3D val="0"/>
            <c:spPr>
              <a:solidFill>
                <a:srgbClr val="002060"/>
              </a:solidFill>
              <a:ln>
                <a:noFill/>
              </a:ln>
              <a:effectLst/>
            </c:spPr>
          </c:dPt>
          <c:dPt>
            <c:idx val="5"/>
            <c:invertIfNegative val="0"/>
            <c:bubble3D val="0"/>
            <c:spPr>
              <a:solidFill>
                <a:srgbClr val="002060"/>
              </a:solidFill>
              <a:ln>
                <a:noFill/>
              </a:ln>
              <a:effectLst/>
            </c:spPr>
          </c:dPt>
          <c:dLbls>
            <c:delete val="1"/>
          </c:dLbls>
          <c:cat>
            <c:strRef>
              <c:f>企业收入!$H$2:$H$7</c:f>
              <c:strCache>
                <c:ptCount val="6"/>
                <c:pt idx="0">
                  <c:v>FDK</c:v>
                </c:pt>
                <c:pt idx="1">
                  <c:v>VARTA AG</c:v>
                </c:pt>
                <c:pt idx="2">
                  <c:v>Panasonic</c:v>
                </c:pt>
                <c:pt idx="3">
                  <c:v>GP Batteries</c:v>
                </c:pt>
                <c:pt idx="4">
                  <c:v>EVE Battery</c:v>
                </c:pt>
                <c:pt idx="5">
                  <c:v>Tadiran</c:v>
                </c:pt>
              </c:strCache>
            </c:strRef>
          </c:cat>
          <c:val>
            <c:numRef>
              <c:f>企业收入!$I$2:$I$7</c:f>
              <c:numCache>
                <c:formatCode>0.0%</c:formatCode>
                <c:ptCount val="6"/>
                <c:pt idx="0">
                  <c:v>0.381365740740741</c:v>
                </c:pt>
                <c:pt idx="1">
                  <c:v>0.171296296296296</c:v>
                </c:pt>
                <c:pt idx="2">
                  <c:v>0.143132716049383</c:v>
                </c:pt>
                <c:pt idx="3">
                  <c:v>0.0825617283950617</c:v>
                </c:pt>
                <c:pt idx="4">
                  <c:v>0.0758101851851852</c:v>
                </c:pt>
                <c:pt idx="5">
                  <c:v>0.0281635802469136</c:v>
                </c:pt>
              </c:numCache>
            </c:numRef>
          </c:val>
        </c:ser>
        <c:dLbls>
          <c:showLegendKey val="0"/>
          <c:showVal val="0"/>
          <c:showCatName val="0"/>
          <c:showSerName val="0"/>
          <c:showPercent val="0"/>
          <c:showBubbleSize val="0"/>
        </c:dLbls>
        <c:gapWidth val="45"/>
        <c:axId val="1272139183"/>
        <c:axId val="1326546959"/>
      </c:barChart>
      <c:catAx>
        <c:axId val="1272139183"/>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宋体" panose="02010600030101010101" charset="-122"/>
                <a:cs typeface="+mn-cs"/>
              </a:defRPr>
            </a:pPr>
          </a:p>
        </c:txPr>
        <c:crossAx val="1326546959"/>
        <c:crosses val="autoZero"/>
        <c:auto val="1"/>
        <c:lblAlgn val="ctr"/>
        <c:lblOffset val="100"/>
        <c:noMultiLvlLbl val="0"/>
      </c:catAx>
      <c:valAx>
        <c:axId val="1326546959"/>
        <c:scaling>
          <c:orientation val="minMax"/>
        </c:scaling>
        <c:delete val="0"/>
        <c:axPos val="t"/>
        <c:majorGridlines>
          <c:spPr>
            <a:ln w="9525" cap="flat" cmpd="sng" algn="ctr">
              <a:noFill/>
              <a:round/>
            </a:ln>
            <a:effectLst/>
          </c:spPr>
        </c:majorGridlines>
        <c:numFmt formatCode="0.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宋体" panose="02010600030101010101" charset="-122"/>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baseline="0">
          <a:latin typeface="Times New Roman" panose="02020603050405020304" charset="0"/>
          <a:ea typeface="宋体" panose="02010600030101010101" charset="-122"/>
        </a:defRPr>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0.60793</cdr:x>
      <cdr:y>0.27494</cdr:y>
    </cdr:from>
    <cdr:to>
      <cdr:x>0.7304</cdr:x>
      <cdr:y>0.38082</cdr:y>
    </cdr:to>
    <cdr:sp>
      <cdr:nvSpPr>
        <cdr:cNvPr id="2" name="椭圆 1"/>
        <cdr:cNvSpPr/>
      </cdr:nvSpPr>
      <cdr:spPr xmlns:a="http://schemas.openxmlformats.org/drawingml/2006/main">
        <a:xfrm xmlns:a="http://schemas.openxmlformats.org/drawingml/2006/main" rot="21480000">
          <a:off x="3895614" y="841307"/>
          <a:ext cx="784800" cy="324000"/>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endParaRPr lang="zh-CN" sz="800" baseline="0">
            <a:solidFill>
              <a:srgbClr val="002060"/>
            </a:solidFill>
            <a:latin typeface="Times New Roman" panose="02020603050405020304" charset="0"/>
            <a:ea typeface="宋体" panose="02010600030101010101" charset="-122"/>
            <a:cs typeface="Times New Roman" panose="02020603050405020304" charset="0"/>
          </a:endParaRPr>
        </a:p>
      </cdr:txBody>
    </cdr:sp>
  </cdr:relSizeAnchor>
  <cdr:relSizeAnchor xmlns:cdr="http://schemas.openxmlformats.org/drawingml/2006/chartDrawing">
    <cdr:from>
      <cdr:x>0.27574</cdr:x>
      <cdr:y>0.47252</cdr:y>
    </cdr:from>
    <cdr:to>
      <cdr:x>0.39821</cdr:x>
      <cdr:y>0.57891</cdr:y>
    </cdr:to>
    <cdr:sp>
      <cdr:nvSpPr>
        <cdr:cNvPr id="3" name="椭圆 2"/>
        <cdr:cNvSpPr/>
      </cdr:nvSpPr>
      <cdr:spPr xmlns:a="http://schemas.openxmlformats.org/drawingml/2006/main">
        <a:xfrm xmlns:a="http://schemas.openxmlformats.org/drawingml/2006/main" rot="21480000">
          <a:off x="1766911" y="1445911"/>
          <a:ext cx="784824" cy="325542"/>
        </a:xfrm>
        <a:prstGeom xmlns:a="http://schemas.openxmlformats.org/drawingml/2006/main" prst="ellipse">
          <a:avLst/>
        </a:prstGeom>
        <a:solidFill>
          <a:srgbClr val="FFC000"/>
        </a:solidFill>
        <a:ln>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endParaRPr lang="zh-CN" sz="900" baseline="0">
            <a:solidFill>
              <a:srgbClr val="002060"/>
            </a:solidFill>
            <a:latin typeface="Times New Roman" panose="02020603050405020304" charset="0"/>
            <a:ea typeface="宋体" panose="02010600030101010101" charset="-122"/>
            <a:cs typeface="Times New Roman" panose="02020603050405020304" charset="0"/>
          </a:endParaRP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03725E9-5172-476E-A6EE-D63C3B5399E2}">
  <ds:schemaRefs/>
</ds:datastoreItem>
</file>

<file path=docProps/app.xml><?xml version="1.0" encoding="utf-8"?>
<Properties xmlns="http://schemas.openxmlformats.org/officeDocument/2006/extended-properties" xmlns:vt="http://schemas.openxmlformats.org/officeDocument/2006/docPropsVTypes">
  <Template>Normal</Template>
  <Pages>4</Pages>
  <Words>1639</Words>
  <Characters>2034</Characters>
  <Lines>14</Lines>
  <Paragraphs>4</Paragraphs>
  <TotalTime>678</TotalTime>
  <ScaleCrop>false</ScaleCrop>
  <LinksUpToDate>false</LinksUpToDate>
  <CharactersWithSpaces>2042</CharactersWithSpaces>
  <Application>WPS Office_12.1.0.17140_F1E327BC-269C-435d-A152-05C5408002CA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*星*空夜@话</cp:lastModifiedBy>
  <dcterms:modified xsi:type="dcterms:W3CDTF">2024-07-01T05:42:45Z</dcterms:modified>
  <cp:revision>879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2052-12.1.0.17140</vt:lpwstr>
  </property>
  <property fmtid="{D5CDD505-2E9C-101B-9397-08002B2CF9AE}" pid="3" name="ICV">
    <vt:lpwstr>E93132F78B1F423782B55001E50509A9_12</vt:lpwstr>
  </property>
</Properties>
</file>