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10.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olors1.xml" ContentType="application/vnd.ms-office.chartcolorstyle+xml"/>
  <Override PartName="/word/charts/colors10.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colors8.xml" ContentType="application/vnd.ms-office.chartcolorstyle+xml"/>
  <Override PartName="/word/charts/colors9.xml" ContentType="application/vnd.ms-office.chartcolorstyle+xml"/>
  <Override PartName="/word/charts/style1.xml" ContentType="application/vnd.ms-office.chartstyle+xml"/>
  <Override PartName="/word/charts/style10.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charts/style8.xml" ContentType="application/vnd.ms-office.chartstyle+xml"/>
  <Override PartName="/word/charts/style9.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cs="Calibri"/>
        </w:rPr>
      </w:pPr>
      <w:bookmarkStart w:id="0" w:name="_Hlk23501351"/>
      <w:bookmarkStart w:id="1" w:name="_Toc517262917"/>
      <w:bookmarkStart w:id="2" w:name="OLE_LINK40"/>
      <w:bookmarkStart w:id="3" w:name="OLE_LINK39"/>
      <w:bookmarkStart w:id="4" w:name="_Toc415818939"/>
      <w:bookmarkStart w:id="5" w:name="_Toc415142861"/>
      <w:bookmarkStart w:id="6" w:name="_Toc438987549"/>
      <w:bookmarkStart w:id="7" w:name="OLE_LINK15"/>
      <w:bookmarkStart w:id="8" w:name="_Toc453597319"/>
      <w:bookmarkStart w:id="9" w:name="_Toc418070112"/>
      <w:bookmarkStart w:id="10" w:name="_Toc415143481"/>
      <w:bookmarkStart w:id="11" w:name="OLE_LINK24"/>
      <w:bookmarkStart w:id="12" w:name="OLE_LINK13"/>
      <w:bookmarkStart w:id="13" w:name="_Toc481801204"/>
      <w:r>
        <w:rPr>
          <w:rFonts w:cs="Calibri"/>
        </w:rPr>
        <mc:AlternateContent>
          <mc:Choice Requires="wps">
            <w:drawing>
              <wp:anchor distT="0" distB="0" distL="114300" distR="114300" simplePos="0" relativeHeight="251661312" behindDoc="0" locked="0" layoutInCell="1" allowOverlap="1">
                <wp:simplePos x="0" y="0"/>
                <wp:positionH relativeFrom="column">
                  <wp:posOffset>-133985</wp:posOffset>
                </wp:positionH>
                <wp:positionV relativeFrom="paragraph">
                  <wp:posOffset>3261360</wp:posOffset>
                </wp:positionV>
                <wp:extent cx="4971415" cy="0"/>
                <wp:effectExtent l="0" t="19050" r="19685" b="19050"/>
                <wp:wrapNone/>
                <wp:docPr id="1348" name="Straight Connector 38"/>
                <wp:cNvGraphicFramePr/>
                <a:graphic xmlns:a="http://schemas.openxmlformats.org/drawingml/2006/main">
                  <a:graphicData uri="http://schemas.microsoft.com/office/word/2010/wordprocessingShape">
                    <wps:wsp>
                      <wps:cNvCnPr/>
                      <wps:spPr>
                        <a:xfrm>
                          <a:off x="0" y="0"/>
                          <a:ext cx="4971415" cy="0"/>
                        </a:xfrm>
                        <a:prstGeom prst="line">
                          <a:avLst/>
                        </a:prstGeom>
                        <a:ln w="28575">
                          <a:solidFill>
                            <a:schemeClr val="accent4"/>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8" o:spid="_x0000_s1026" o:spt="20" style="position:absolute;left:0pt;margin-left:-10.55pt;margin-top:256.8pt;height:0pt;width:391.45pt;z-index:251661312;mso-width-relative:page;mso-height-relative:page;" filled="f" stroked="t" coordsize="21600,21600" o:gfxdata="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C2b7M+2QAAAAsBAAAPAAAA&#10;AAAAAAEAIAAAACIAAABkcnMvZG93bnJldi54bWxQSwECFAAUAAAACACHTuJAS6AeHNsBAAC5AwAA&#10;DgAAAAAAAAABACAAAAAoAQAAZHJzL2Uyb0RvYy54bWxQSwUGAAAAAAYABgBZAQAAdQUAAAAA&#10;">
                <v:fill on="f" focussize="0,0"/>
                <v:stroke weight="2.25pt" color="#FFC000 [3207]" miterlimit="8" joinstyle="miter"/>
                <v:imagedata o:title=""/>
                <o:lock v:ext="edit" aspectratio="f"/>
              </v:line>
            </w:pict>
          </mc:Fallback>
        </mc:AlternateContent>
      </w:r>
      <w:r>
        <w:rPr>
          <w:rFonts w:cs="Calibri"/>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8863965</wp:posOffset>
                </wp:positionV>
                <wp:extent cx="5048250" cy="327660"/>
                <wp:effectExtent l="0" t="0" r="0" b="0"/>
                <wp:wrapNone/>
                <wp:docPr id="1438" name="Text Box 1438"/>
                <wp:cNvGraphicFramePr/>
                <a:graphic xmlns:a="http://schemas.openxmlformats.org/drawingml/2006/main">
                  <a:graphicData uri="http://schemas.microsoft.com/office/word/2010/wordprocessingShape">
                    <wps:wsp>
                      <wps:cNvSpPr txBox="1"/>
                      <wps:spPr>
                        <a:xfrm>
                          <a:off x="0" y="0"/>
                          <a:ext cx="5048250" cy="32780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jc w:val="center"/>
                              <w:rPr>
                                <w:b/>
                                <w:color w:val="FFFFFF" w:themeColor="background1"/>
                                <w:szCs w:val="22"/>
                                <w14:textFill>
                                  <w14:solidFill>
                                    <w14:schemeClr w14:val="bg1"/>
                                  </w14:solidFill>
                                </w14:textFill>
                              </w:rPr>
                            </w:pPr>
                            <w:r>
                              <w:rPr>
                                <w:b/>
                                <w:szCs w:val="22"/>
                              </w:rPr>
                              <w:t xml:space="preserve">Copyright © QYResearch | market@qyresearch.com | </w:t>
                            </w:r>
                            <w:r>
                              <w:rPr>
                                <w:b/>
                                <w:color w:val="FFFFFF" w:themeColor="background1"/>
                                <w:szCs w:val="22"/>
                                <w14:textFill>
                                  <w14:solidFill>
                                    <w14:schemeClr w14:val="bg1"/>
                                  </w14:solidFill>
                                </w14:textFill>
                              </w:rPr>
                              <w:t>www.qyresearch.com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438" o:spid="_x0000_s1026" o:spt="202" type="#_x0000_t202" style="position:absolute;left:0pt;margin-top:697.95pt;height:25.8pt;width:397.5pt;mso-position-horizontal:center;mso-position-horizontal-relative:margin;z-index:251659264;mso-width-relative:page;mso-height-relative:page;" filled="f" stroked="f" coordsize="21600,21600" o:gfxdata="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eRDn/toAAAAKAQAADwAAAAAAAAABACAAAAAiAAAAZHJzL2Rvd25yZXYu&#10;eG1sUEsBAhQAFAAAAAgAh07iQMHwJl0yAgAAeQQAAA4AAAAAAAAAAQAgAAAAKQEAAGRycy9lMm9E&#10;b2MueG1sUEsFBgAAAAAGAAYAWQEAAM0FAAAAAA==&#10;">
                <v:fill on="f" focussize="0,0"/>
                <v:stroke on="f" weight="0.5pt"/>
                <v:imagedata o:title=""/>
                <o:lock v:ext="edit" aspectratio="f"/>
                <v:textbox>
                  <w:txbxContent>
                    <w:p>
                      <w:pPr>
                        <w:jc w:val="center"/>
                        <w:rPr>
                          <w:b/>
                          <w:color w:val="FFFFFF" w:themeColor="background1"/>
                          <w:szCs w:val="22"/>
                          <w14:textFill>
                            <w14:solidFill>
                              <w14:schemeClr w14:val="bg1"/>
                            </w14:solidFill>
                          </w14:textFill>
                        </w:rPr>
                      </w:pPr>
                      <w:r>
                        <w:rPr>
                          <w:b/>
                          <w:szCs w:val="22"/>
                        </w:rPr>
                        <w:t xml:space="preserve">Copyright © QYResearch | market@qyresearch.com | </w:t>
                      </w:r>
                      <w:r>
                        <w:rPr>
                          <w:b/>
                          <w:color w:val="FFFFFF" w:themeColor="background1"/>
                          <w:szCs w:val="22"/>
                          <w14:textFill>
                            <w14:solidFill>
                              <w14:schemeClr w14:val="bg1"/>
                            </w14:solidFill>
                          </w14:textFill>
                        </w:rPr>
                        <w:t>www.qyresearch.com</w:t>
                      </w:r>
                    </w:p>
                  </w:txbxContent>
                </v:textbox>
              </v:shape>
            </w:pict>
          </mc:Fallback>
        </mc:AlternateContent>
      </w:r>
      <w:r>
        <w:rPr>
          <w:rFonts w:cs="Calibri"/>
        </w:rPr>
        <mc:AlternateContent>
          <mc:Choice Requires="wps">
            <w:drawing>
              <wp:anchor distT="0" distB="0" distL="114300" distR="114300" simplePos="0" relativeHeight="251660288" behindDoc="0" locked="0" layoutInCell="1" allowOverlap="1">
                <wp:simplePos x="0" y="0"/>
                <wp:positionH relativeFrom="column">
                  <wp:posOffset>-283845</wp:posOffset>
                </wp:positionH>
                <wp:positionV relativeFrom="paragraph">
                  <wp:posOffset>2054860</wp:posOffset>
                </wp:positionV>
                <wp:extent cx="6337300" cy="1769110"/>
                <wp:effectExtent l="0" t="0" r="0" b="2540"/>
                <wp:wrapNone/>
                <wp:docPr id="1346" name="Text Box 479"/>
                <wp:cNvGraphicFramePr/>
                <a:graphic xmlns:a="http://schemas.openxmlformats.org/drawingml/2006/main">
                  <a:graphicData uri="http://schemas.microsoft.com/office/word/2010/wordprocessingShape">
                    <wps:wsp>
                      <wps:cNvSpPr txBox="1">
                        <a:spLocks noChangeArrowheads="1"/>
                      </wps:cNvSpPr>
                      <wps:spPr bwMode="auto">
                        <a:xfrm>
                          <a:off x="0" y="0"/>
                          <a:ext cx="6337005" cy="1769423"/>
                        </a:xfrm>
                        <a:prstGeom prst="rect">
                          <a:avLst/>
                        </a:prstGeom>
                        <a:noFill/>
                        <a:ln w="9525">
                          <a:noFill/>
                          <a:miter lim="800000"/>
                        </a:ln>
                        <a:effectLst/>
                      </wps:spPr>
                      <wps:txbx>
                        <w:txbxContent>
                          <w:p>
                            <w:pPr>
                              <w:widowControl/>
                              <w:topLinePunct w:val="0"/>
                              <w:jc w:val="left"/>
                              <w:rPr>
                                <w:rFonts w:ascii="Century Gothic" w:hAnsi="Century Gothic" w:cs="Arial"/>
                                <w:b/>
                                <w:color w:val="002060"/>
                                <w:spacing w:val="-30"/>
                                <w:kern w:val="0"/>
                                <w:sz w:val="56"/>
                                <w:szCs w:val="56"/>
                              </w:rPr>
                            </w:pPr>
                            <w:r>
                              <w:rPr>
                                <w:rFonts w:hint="eastAsia" w:ascii="Century Gothic" w:hAnsi="Century Gothic" w:cs="Arial"/>
                                <w:b/>
                                <w:color w:val="002060"/>
                                <w:spacing w:val="-30"/>
                                <w:kern w:val="0"/>
                                <w:sz w:val="56"/>
                                <w:szCs w:val="56"/>
                              </w:rPr>
                              <w:t>包装膜</w:t>
                            </w:r>
                          </w:p>
                          <w:p>
                            <w:pPr>
                              <w:widowControl/>
                              <w:topLinePunct w:val="0"/>
                              <w:jc w:val="left"/>
                              <w:rPr>
                                <w:rFonts w:ascii="Century Gothic" w:hAnsi="Century Gothic" w:cs="Arial"/>
                                <w:b/>
                                <w:color w:val="002060"/>
                                <w:spacing w:val="-30"/>
                                <w:kern w:val="0"/>
                                <w:sz w:val="52"/>
                                <w:szCs w:val="52"/>
                              </w:rPr>
                            </w:pPr>
                            <w:r>
                              <w:rPr>
                                <w:rFonts w:hint="eastAsia" w:ascii="Century Gothic" w:hAnsi="Century Gothic" w:cs="Arial"/>
                                <w:b/>
                                <w:color w:val="002060"/>
                                <w:spacing w:val="-30"/>
                                <w:kern w:val="0"/>
                                <w:sz w:val="52"/>
                                <w:szCs w:val="52"/>
                              </w:rPr>
                              <w:t>全球市场研究报告</w:t>
                            </w:r>
                            <w:r>
                              <w:rPr>
                                <w:rFonts w:ascii="Century Gothic" w:hAnsi="Century Gothic" w:cs="Arial"/>
                                <w:b/>
                                <w:color w:val="002060"/>
                                <w:spacing w:val="-30"/>
                                <w:kern w:val="0"/>
                                <w:sz w:val="52"/>
                                <w:szCs w:val="52"/>
                              </w:rPr>
                              <w:t>2023-2029</w:t>
                            </w:r>
                          </w:p>
                        </w:txbxContent>
                      </wps:txbx>
                      <wps:bodyPr rot="0" vert="horz" wrap="square" lIns="91440" tIns="45720" rIns="91440" bIns="45720" anchor="t" anchorCtr="0">
                        <a:noAutofit/>
                      </wps:bodyPr>
                    </wps:wsp>
                  </a:graphicData>
                </a:graphic>
              </wp:anchor>
            </w:drawing>
          </mc:Choice>
          <mc:Fallback>
            <w:pict>
              <v:shape id="Text Box 479" o:spid="_x0000_s1026" o:spt="202" type="#_x0000_t202" style="position:absolute;left:0pt;margin-left:-22.35pt;margin-top:161.8pt;height:139.3pt;width:499pt;z-index:251660288;mso-width-relative:page;mso-height-relative:page;" filled="f" stroked="f" coordsize="21600,21600" o:gfxdata="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LvbpbNkA&#10;AAALAQAADwAAAAAAAAABACAAAAAiAAAAZHJzL2Rvd25yZXYueG1sUEsBAhQAFAAAAAgAh07iQBDM&#10;BnIeAgAAPAQAAA4AAAAAAAAAAQAgAAAAKAEAAGRycy9lMm9Eb2MueG1sUEsFBgAAAAAGAAYAWQEA&#10;ALgFAAAAAA==&#10;">
                <v:fill on="f" focussize="0,0"/>
                <v:stroke on="f" miterlimit="8" joinstyle="miter"/>
                <v:imagedata o:title=""/>
                <o:lock v:ext="edit" aspectratio="f"/>
                <v:textbox>
                  <w:txbxContent>
                    <w:p>
                      <w:pPr>
                        <w:widowControl/>
                        <w:topLinePunct w:val="0"/>
                        <w:jc w:val="left"/>
                        <w:rPr>
                          <w:rFonts w:ascii="Century Gothic" w:hAnsi="Century Gothic" w:cs="Arial"/>
                          <w:b/>
                          <w:color w:val="002060"/>
                          <w:spacing w:val="-30"/>
                          <w:kern w:val="0"/>
                          <w:sz w:val="56"/>
                          <w:szCs w:val="56"/>
                        </w:rPr>
                      </w:pPr>
                      <w:r>
                        <w:rPr>
                          <w:rFonts w:hint="eastAsia" w:ascii="Century Gothic" w:hAnsi="Century Gothic" w:cs="Arial"/>
                          <w:b/>
                          <w:color w:val="002060"/>
                          <w:spacing w:val="-30"/>
                          <w:kern w:val="0"/>
                          <w:sz w:val="56"/>
                          <w:szCs w:val="56"/>
                        </w:rPr>
                        <w:t>包装膜</w:t>
                      </w:r>
                    </w:p>
                    <w:p>
                      <w:pPr>
                        <w:widowControl/>
                        <w:topLinePunct w:val="0"/>
                        <w:jc w:val="left"/>
                        <w:rPr>
                          <w:rFonts w:ascii="Century Gothic" w:hAnsi="Century Gothic" w:cs="Arial"/>
                          <w:b/>
                          <w:color w:val="002060"/>
                          <w:spacing w:val="-30"/>
                          <w:kern w:val="0"/>
                          <w:sz w:val="52"/>
                          <w:szCs w:val="52"/>
                        </w:rPr>
                      </w:pPr>
                      <w:r>
                        <w:rPr>
                          <w:rFonts w:hint="eastAsia" w:ascii="Century Gothic" w:hAnsi="Century Gothic" w:cs="Arial"/>
                          <w:b/>
                          <w:color w:val="002060"/>
                          <w:spacing w:val="-30"/>
                          <w:kern w:val="0"/>
                          <w:sz w:val="52"/>
                          <w:szCs w:val="52"/>
                        </w:rPr>
                        <w:t>全球市场研究报告</w:t>
                      </w:r>
                      <w:r>
                        <w:rPr>
                          <w:rFonts w:ascii="Century Gothic" w:hAnsi="Century Gothic" w:cs="Arial"/>
                          <w:b/>
                          <w:color w:val="002060"/>
                          <w:spacing w:val="-30"/>
                          <w:kern w:val="0"/>
                          <w:sz w:val="52"/>
                          <w:szCs w:val="52"/>
                        </w:rPr>
                        <w:t>2023-2029</w:t>
                      </w:r>
                    </w:p>
                  </w:txbxContent>
                </v:textbox>
              </v:shape>
            </w:pict>
          </mc:Fallback>
        </mc:AlternateContent>
      </w:r>
      <w:r>
        <w:rPr>
          <w:rFonts w:cs="Calibri"/>
        </w:rPr>
        <w:drawing>
          <wp:anchor distT="0" distB="0" distL="114300" distR="114300" simplePos="0" relativeHeight="251662336" behindDoc="1" locked="0" layoutInCell="1" allowOverlap="1">
            <wp:simplePos x="0" y="0"/>
            <wp:positionH relativeFrom="page">
              <wp:posOffset>-62230</wp:posOffset>
            </wp:positionH>
            <wp:positionV relativeFrom="page">
              <wp:posOffset>-37465</wp:posOffset>
            </wp:positionV>
            <wp:extent cx="7665085" cy="10734675"/>
            <wp:effectExtent l="0" t="0" r="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7665079" cy="10734675"/>
                    </a:xfrm>
                    <a:prstGeom prst="rect">
                      <a:avLst/>
                    </a:prstGeom>
                  </pic:spPr>
                </pic:pic>
              </a:graphicData>
            </a:graphic>
          </wp:anchor>
        </w:drawing>
      </w:r>
    </w:p>
    <w:p>
      <w:pPr>
        <w:sectPr>
          <w:headerReference r:id="rId5" w:type="first"/>
          <w:headerReference r:id="rId4" w:type="even"/>
          <w:pgSz w:w="11906" w:h="16838"/>
          <w:pgMar w:top="1418" w:right="1134" w:bottom="851" w:left="1134" w:header="709" w:footer="567" w:gutter="0"/>
          <w:pgNumType w:start="0"/>
          <w:cols w:space="708" w:num="1"/>
          <w:docGrid w:linePitch="360" w:charSpace="0"/>
        </w:sectPr>
      </w:pPr>
    </w:p>
    <w:bookmarkEnd w:id="0"/>
    <w:p>
      <w:pPr>
        <w:pStyle w:val="167"/>
        <w:rPr>
          <w:lang w:eastAsia="zh-CN"/>
        </w:rPr>
      </w:pPr>
      <w:r>
        <w:rPr>
          <w:lang w:eastAsia="zh-CN"/>
        </w:rPr>
        <w:t>包装膜</w:t>
      </w:r>
      <w:r>
        <w:rPr>
          <w:rFonts w:hint="eastAsia"/>
          <w:lang w:eastAsia="zh-CN"/>
        </w:rPr>
        <w:t>全球市场总体规模</w:t>
      </w:r>
    </w:p>
    <w:p>
      <w:pPr>
        <w:pStyle w:val="145"/>
        <w:rPr>
          <w:lang w:eastAsia="zh-CN"/>
        </w:rPr>
      </w:pPr>
      <w:r>
        <w:rPr>
          <w:rFonts w:hint="eastAsia"/>
          <w:lang w:eastAsia="zh-CN"/>
        </w:rPr>
        <w:t>据QYResearch调研团队最新报告“全球包装膜市场报告2023-2029”显示，</w:t>
      </w:r>
      <w:r>
        <w:rPr>
          <w:rFonts w:cs="Times New Roman"/>
          <w:lang w:eastAsia="zh-CN"/>
        </w:rPr>
        <w:t>2022年全球包装膜市场规模大约为</w:t>
      </w:r>
      <w:bookmarkStart w:id="14" w:name="_Hlk88493589"/>
      <w:r>
        <w:rPr>
          <w:rFonts w:ascii="Times New Roman" w:hAnsi="Times New Roman" w:cs="Times New Roman"/>
          <w:lang w:eastAsia="zh-CN"/>
        </w:rPr>
        <w:t>139,252</w:t>
      </w:r>
      <w:r>
        <w:rPr>
          <w:rFonts w:hint="eastAsia" w:cs="Times New Roman"/>
          <w:lang w:eastAsia="zh-CN"/>
        </w:rPr>
        <w:t>百万</w:t>
      </w:r>
      <w:r>
        <w:rPr>
          <w:rFonts w:cs="Times New Roman"/>
          <w:lang w:eastAsia="zh-CN"/>
        </w:rPr>
        <w:t>美元</w:t>
      </w:r>
      <w:bookmarkEnd w:id="14"/>
      <w:r>
        <w:rPr>
          <w:rFonts w:cs="Times New Roman"/>
          <w:lang w:eastAsia="zh-CN"/>
        </w:rPr>
        <w:t>，预计2029年将达到</w:t>
      </w:r>
      <w:r>
        <w:rPr>
          <w:rFonts w:ascii="Times New Roman" w:hAnsi="Times New Roman" w:cs="Times New Roman"/>
          <w:lang w:eastAsia="zh-CN"/>
        </w:rPr>
        <w:t>196250</w:t>
      </w:r>
      <w:r>
        <w:rPr>
          <w:rFonts w:hint="eastAsia" w:cs="Times New Roman"/>
          <w:lang w:eastAsia="zh-CN"/>
        </w:rPr>
        <w:t>百万</w:t>
      </w:r>
      <w:r>
        <w:rPr>
          <w:rFonts w:cs="Times New Roman"/>
          <w:lang w:eastAsia="zh-CN"/>
        </w:rPr>
        <w:t>美元，2023-2029期间年复合增长率（CAGR）为</w:t>
      </w:r>
      <w:r>
        <w:rPr>
          <w:rFonts w:ascii="Times New Roman" w:hAnsi="Times New Roman" w:cs="Times New Roman"/>
          <w:lang w:eastAsia="zh-CN"/>
        </w:rPr>
        <w:t>4.9%</w:t>
      </w:r>
      <w:r>
        <w:rPr>
          <w:rFonts w:cs="Times New Roman"/>
          <w:lang w:eastAsia="zh-CN"/>
        </w:rPr>
        <w:t>。</w:t>
      </w:r>
    </w:p>
    <w:p>
      <w:pPr>
        <w:pStyle w:val="148"/>
        <w:rPr>
          <w:lang w:eastAsia="zh-CN"/>
        </w:rPr>
      </w:pPr>
      <w:r>
        <w:rPr>
          <w:rFonts w:hint="eastAsia"/>
          <w:lang w:eastAsia="zh-CN"/>
        </w:rPr>
        <w:t>全球</w:t>
      </w:r>
      <w:r>
        <w:rPr>
          <w:lang w:eastAsia="zh-CN"/>
        </w:rPr>
        <w:t>包装膜</w:t>
      </w:r>
      <w:r>
        <w:rPr>
          <w:rFonts w:hint="eastAsia"/>
          <w:lang w:eastAsia="zh-CN"/>
        </w:rPr>
        <w:t>市场总体规模（百万美元）&amp;（2018</w:t>
      </w:r>
      <w:r>
        <w:rPr>
          <w:lang w:eastAsia="zh-CN"/>
        </w:rPr>
        <w:t xml:space="preserve"> </w:t>
      </w:r>
      <w:r>
        <w:rPr>
          <w:rFonts w:hint="eastAsia"/>
          <w:lang w:eastAsia="zh-CN"/>
        </w:rPr>
        <w:t xml:space="preserve">VS </w:t>
      </w:r>
      <w:r>
        <w:rPr>
          <w:lang w:eastAsia="zh-CN"/>
        </w:rPr>
        <w:t>2022 VS 2029</w:t>
      </w:r>
      <w:r>
        <w:rPr>
          <w:rFonts w:hint="eastAsia"/>
          <w:lang w:eastAsia="zh-CN"/>
        </w:rPr>
        <w:t>）</w:t>
      </w:r>
    </w:p>
    <w:p>
      <w:pPr>
        <w:pStyle w:val="145"/>
        <w:rPr>
          <w:lang w:val="en-US" w:eastAsia="zh-CN"/>
        </w:rPr>
      </w:pPr>
      <w:r>
        <w:rPr>
          <w:rFonts w:ascii="Times New Roman" w:hAnsi="Times New Roman" w:cs="Times New Roman"/>
          <w:lang w:val="en-US" w:eastAsia="zh-CN"/>
        </w:rPr>
        <w:drawing>
          <wp:inline distT="0" distB="0" distL="0" distR="0">
            <wp:extent cx="6188710" cy="2922270"/>
            <wp:effectExtent l="0" t="0" r="2540" b="0"/>
            <wp:docPr id="1281000955"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pStyle w:val="143"/>
        <w:rPr>
          <w:lang w:eastAsia="zh-CN"/>
        </w:rPr>
      </w:pPr>
      <w:r>
        <w:rPr>
          <w:rFonts w:hint="eastAsia"/>
          <w:lang w:eastAsia="zh-CN"/>
        </w:rPr>
        <w:t>如上图表/数据，摘自QYResearch最新报告“全球</w:t>
      </w:r>
      <w:r>
        <w:rPr>
          <w:lang w:eastAsia="zh-CN"/>
        </w:rPr>
        <w:t>包装膜</w:t>
      </w:r>
      <w:r>
        <w:rPr>
          <w:rFonts w:hint="eastAsia"/>
          <w:lang w:eastAsia="zh-CN"/>
        </w:rPr>
        <w:t>市场研究报告2023-2029</w:t>
      </w:r>
      <w:r>
        <w:rPr>
          <w:lang w:eastAsia="zh-CN"/>
        </w:rPr>
        <w:t>.</w:t>
      </w:r>
    </w:p>
    <w:p>
      <w:pPr>
        <w:pStyle w:val="145"/>
        <w:rPr>
          <w:lang w:eastAsia="zh-CN"/>
        </w:rPr>
      </w:pPr>
      <w:r>
        <w:rPr>
          <w:rFonts w:hint="eastAsia"/>
          <w:lang w:eastAsia="zh-CN"/>
        </w:rPr>
        <w:t>市场驱动力：由于食品和饮料行业的需求不断增长，软包装行业的激增将在预测的时间内推动包装薄膜的需求。 由于新兴经济体生活方式的改变和可支配收入的增加，对包装食品的需求不断增加，这将在研究期间推动对包装食品的需求。 软包装行业的这些强劲增长指标将随后推动包装薄膜市场的发展。</w:t>
      </w:r>
    </w:p>
    <w:p>
      <w:pPr>
        <w:pStyle w:val="148"/>
        <w:rPr>
          <w:lang w:eastAsia="zh-CN"/>
        </w:rPr>
      </w:pPr>
      <w:r>
        <w:rPr>
          <w:rFonts w:hint="eastAsia"/>
          <w:lang w:eastAsia="zh-CN"/>
        </w:rPr>
        <w:t>全球</w:t>
      </w:r>
      <w:r>
        <w:rPr>
          <w:lang w:eastAsia="zh-CN"/>
        </w:rPr>
        <w:t>包装膜</w:t>
      </w:r>
      <w:r>
        <w:rPr>
          <w:rFonts w:hint="eastAsia"/>
          <w:lang w:eastAsia="zh-CN"/>
        </w:rPr>
        <w:t>主要厂商排名，其中2</w:t>
      </w:r>
      <w:r>
        <w:rPr>
          <w:lang w:eastAsia="zh-CN"/>
        </w:rPr>
        <w:t>022</w:t>
      </w:r>
      <w:r>
        <w:rPr>
          <w:rFonts w:hint="eastAsia"/>
          <w:lang w:eastAsia="zh-CN"/>
        </w:rPr>
        <w:t>年前五大厂商占有全球大约</w:t>
      </w:r>
      <w:r>
        <w:rPr>
          <w:lang w:eastAsia="zh-CN"/>
        </w:rPr>
        <w:t>3.8%</w:t>
      </w:r>
      <w:r>
        <w:rPr>
          <w:rFonts w:hint="eastAsia"/>
          <w:lang w:eastAsia="zh-CN"/>
        </w:rPr>
        <w:t>的市场份额</w:t>
      </w:r>
    </w:p>
    <w:p>
      <w:pPr>
        <w:pStyle w:val="145"/>
        <w:jc w:val="center"/>
        <w:rPr>
          <w:lang w:val="en-US" w:eastAsia="zh-CN"/>
        </w:rPr>
      </w:pPr>
      <w:r>
        <w:drawing>
          <wp:inline distT="0" distB="0" distL="0" distR="0">
            <wp:extent cx="4570095" cy="4399915"/>
            <wp:effectExtent l="0" t="0" r="1905" b="635"/>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pStyle w:val="143"/>
        <w:rPr>
          <w:lang w:eastAsia="zh-CN"/>
        </w:rPr>
      </w:pPr>
      <w:r>
        <w:rPr>
          <w:rFonts w:hint="eastAsia"/>
          <w:lang w:eastAsia="zh-CN"/>
        </w:rPr>
        <w:t>如上图表/数据，摘自QYResearch最新报告“全球</w:t>
      </w:r>
      <w:r>
        <w:rPr>
          <w:lang w:eastAsia="zh-CN"/>
        </w:rPr>
        <w:t>包装膜</w:t>
      </w:r>
      <w:r>
        <w:rPr>
          <w:rFonts w:hint="eastAsia"/>
          <w:lang w:eastAsia="zh-CN"/>
        </w:rPr>
        <w:t>市场研究报告2023-2029</w:t>
      </w:r>
      <w:r>
        <w:rPr>
          <w:lang w:eastAsia="zh-CN"/>
        </w:rPr>
        <w:t>.</w:t>
      </w:r>
    </w:p>
    <w:p>
      <w:pPr>
        <w:pStyle w:val="145"/>
        <w:spacing w:line="360" w:lineRule="auto"/>
        <w:ind w:firstLine="420"/>
        <w:rPr>
          <w:rFonts w:ascii="Times New Roman" w:hAnsi="Times New Roman" w:cs="Times New Roman"/>
          <w:lang w:eastAsia="zh-CN"/>
        </w:rPr>
      </w:pPr>
      <w:r>
        <w:rPr>
          <w:rFonts w:hint="eastAsia"/>
          <w:lang w:eastAsia="zh-CN"/>
        </w:rPr>
        <w:t>全球范围内，</w:t>
      </w:r>
      <w:r>
        <w:rPr>
          <w:lang w:eastAsia="zh-CN"/>
        </w:rPr>
        <w:t>包装膜</w:t>
      </w:r>
      <w:r>
        <w:rPr>
          <w:rFonts w:hint="eastAsia"/>
          <w:lang w:eastAsia="zh-CN"/>
        </w:rPr>
        <w:t>主要生产商包括</w:t>
      </w:r>
      <w:r>
        <w:rPr>
          <w:rFonts w:ascii="Times New Roman" w:hAnsi="Times New Roman" w:cs="Times New Roman"/>
        </w:rPr>
        <w:t>Toray, Amcor, Uflex, Taghleef, Gettel Group, Innovia, Forop Group and Oben Group</w:t>
      </w:r>
      <w:r>
        <w:rPr>
          <w:rFonts w:hint="eastAsia"/>
          <w:lang w:eastAsia="zh-CN"/>
        </w:rPr>
        <w:t>等。其中前五大厂商占有大约</w:t>
      </w:r>
      <w:r>
        <w:rPr>
          <w:lang w:eastAsia="zh-CN"/>
        </w:rPr>
        <w:t>3.8%</w:t>
      </w:r>
      <w:r>
        <w:rPr>
          <w:rFonts w:hint="eastAsia"/>
          <w:lang w:eastAsia="zh-CN"/>
        </w:rPr>
        <w:t>的市场份额。</w:t>
      </w:r>
    </w:p>
    <w:p>
      <w:pPr>
        <w:pStyle w:val="145"/>
        <w:rPr>
          <w:lang w:eastAsia="zh-CN"/>
        </w:rPr>
      </w:pPr>
      <w:r>
        <w:rPr>
          <w:lang w:eastAsia="zh-CN"/>
        </w:rPr>
        <w:br w:type="page"/>
      </w:r>
    </w:p>
    <w:p>
      <w:pPr>
        <w:pStyle w:val="148"/>
        <w:rPr>
          <w:lang w:eastAsia="zh-CN"/>
        </w:rPr>
      </w:pPr>
      <w:r>
        <w:rPr>
          <w:rFonts w:hint="eastAsia"/>
          <w:lang w:eastAsia="zh-CN"/>
        </w:rPr>
        <w:t>全球</w:t>
      </w:r>
      <w:r>
        <w:rPr>
          <w:lang w:eastAsia="zh-CN"/>
        </w:rPr>
        <w:t>包装膜</w:t>
      </w:r>
      <w:r>
        <w:rPr>
          <w:rFonts w:hint="eastAsia"/>
          <w:lang w:eastAsia="zh-CN"/>
        </w:rPr>
        <w:t>市场规模，按产品类型细分，</w:t>
      </w:r>
      <w:r>
        <w:rPr>
          <w:rFonts w:hint="eastAsia" w:ascii="Times New Roman" w:hAnsi="Times New Roman" w:cs="Times New Roman"/>
          <w:lang w:eastAsia="zh-CN"/>
        </w:rPr>
        <w:t>聚乙烯薄膜类型</w:t>
      </w:r>
      <w:r>
        <w:rPr>
          <w:rFonts w:hint="eastAsia"/>
          <w:lang w:eastAsia="zh-CN"/>
        </w:rPr>
        <w:t>处于主导地位</w:t>
      </w:r>
    </w:p>
    <w:p>
      <w:pPr>
        <w:pStyle w:val="145"/>
      </w:pPr>
      <w:r>
        <w:rPr>
          <w:lang w:val="en-US" w:eastAsia="zh-CN"/>
        </w:rPr>
        <w:drawing>
          <wp:inline distT="0" distB="0" distL="0" distR="0">
            <wp:extent cx="3067050" cy="3095625"/>
            <wp:effectExtent l="0" t="0" r="0" b="9525"/>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r>
        <w:rPr>
          <w:lang w:val="en-US" w:eastAsia="zh-CN"/>
        </w:rPr>
        <w:drawing>
          <wp:inline distT="0" distB="0" distL="0" distR="0">
            <wp:extent cx="3067050" cy="3095625"/>
            <wp:effectExtent l="0" t="0" r="0" b="9525"/>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pStyle w:val="143"/>
        <w:rPr>
          <w:lang w:eastAsia="zh-CN"/>
        </w:rPr>
      </w:pPr>
      <w:r>
        <w:rPr>
          <w:lang w:val="en-US" w:eastAsia="zh-CN"/>
        </w:rPr>
        <w:drawing>
          <wp:inline distT="0" distB="0" distL="0" distR="0">
            <wp:extent cx="6188710" cy="2922270"/>
            <wp:effectExtent l="0" t="0" r="2540" b="0"/>
            <wp:docPr id="10"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r>
        <w:rPr>
          <w:rFonts w:hint="eastAsia"/>
          <w:lang w:eastAsia="zh-CN"/>
        </w:rPr>
        <w:t>如上图表/数据，摘自QYResearch最新报告“全球</w:t>
      </w:r>
      <w:r>
        <w:rPr>
          <w:lang w:eastAsia="zh-CN"/>
        </w:rPr>
        <w:t>包装膜</w:t>
      </w:r>
      <w:r>
        <w:rPr>
          <w:rFonts w:hint="eastAsia"/>
          <w:lang w:eastAsia="zh-CN"/>
        </w:rPr>
        <w:t>市场研究报告2023-2029</w:t>
      </w:r>
      <w:r>
        <w:rPr>
          <w:lang w:eastAsia="zh-CN"/>
        </w:rPr>
        <w:t>.</w:t>
      </w:r>
    </w:p>
    <w:p>
      <w:pPr>
        <w:pStyle w:val="145"/>
        <w:rPr>
          <w:lang w:eastAsia="zh-CN"/>
        </w:rPr>
      </w:pPr>
      <w:r>
        <w:rPr>
          <w:rFonts w:hint="eastAsia"/>
          <w:lang w:eastAsia="zh-CN"/>
        </w:rPr>
        <w:t>就产品类型而言，目前</w:t>
      </w:r>
      <w:r>
        <w:rPr>
          <w:rFonts w:hint="eastAsia" w:ascii="Times New Roman" w:hAnsi="Times New Roman" w:cs="Times New Roman"/>
          <w:lang w:eastAsia="zh-CN"/>
        </w:rPr>
        <w:t>聚乙烯薄膜</w:t>
      </w:r>
      <w:r>
        <w:rPr>
          <w:rFonts w:hint="eastAsia"/>
          <w:lang w:eastAsia="zh-CN"/>
        </w:rPr>
        <w:t>是最主要的细分产品，2</w:t>
      </w:r>
      <w:r>
        <w:rPr>
          <w:lang w:eastAsia="zh-CN"/>
        </w:rPr>
        <w:t>022</w:t>
      </w:r>
      <w:r>
        <w:rPr>
          <w:rFonts w:hint="eastAsia"/>
          <w:lang w:eastAsia="zh-CN"/>
        </w:rPr>
        <w:t>年</w:t>
      </w:r>
      <w:r>
        <w:rPr>
          <w:rFonts w:hint="eastAsia" w:ascii="Times New Roman" w:hAnsi="Times New Roman" w:cs="Times New Roman"/>
          <w:lang w:eastAsia="zh-CN"/>
        </w:rPr>
        <w:t>聚乙烯薄膜</w:t>
      </w:r>
      <w:r>
        <w:rPr>
          <w:rFonts w:hint="eastAsia"/>
          <w:lang w:eastAsia="zh-CN"/>
        </w:rPr>
        <w:t>的消费市场占据全球包装膜市场大约</w:t>
      </w:r>
      <w:r>
        <w:rPr>
          <w:lang w:eastAsia="zh-CN"/>
        </w:rPr>
        <w:t>39.8%</w:t>
      </w:r>
      <w:r>
        <w:rPr>
          <w:rFonts w:hint="eastAsia"/>
          <w:lang w:eastAsia="zh-CN"/>
        </w:rPr>
        <w:t>的份额。</w:t>
      </w:r>
    </w:p>
    <w:p>
      <w:pPr>
        <w:pStyle w:val="145"/>
        <w:rPr>
          <w:lang w:eastAsia="zh-CN"/>
        </w:rPr>
      </w:pPr>
      <w:r>
        <w:rPr>
          <w:lang w:eastAsia="zh-CN"/>
        </w:rPr>
        <w:br w:type="page"/>
      </w:r>
    </w:p>
    <w:p>
      <w:pPr>
        <w:pStyle w:val="148"/>
        <w:rPr>
          <w:lang w:eastAsia="zh-CN"/>
        </w:rPr>
      </w:pPr>
      <w:r>
        <w:rPr>
          <w:rFonts w:hint="eastAsia"/>
          <w:lang w:eastAsia="zh-CN"/>
        </w:rPr>
        <w:t>全球</w:t>
      </w:r>
      <w:r>
        <w:rPr>
          <w:lang w:eastAsia="zh-CN"/>
        </w:rPr>
        <w:t>包装膜</w:t>
      </w:r>
      <w:r>
        <w:rPr>
          <w:rFonts w:hint="eastAsia"/>
          <w:lang w:eastAsia="zh-CN"/>
        </w:rPr>
        <w:t>市场规模，按应用细分，食品包装是最大的下游市场，占有</w:t>
      </w:r>
      <w:r>
        <w:rPr>
          <w:lang w:eastAsia="zh-CN"/>
        </w:rPr>
        <w:t>44.3%的</w:t>
      </w:r>
      <w:r>
        <w:rPr>
          <w:rFonts w:hint="eastAsia"/>
          <w:lang w:eastAsia="zh-CN"/>
        </w:rPr>
        <w:t>份额。</w:t>
      </w:r>
    </w:p>
    <w:p>
      <w:pPr>
        <w:pStyle w:val="145"/>
      </w:pPr>
      <w:r>
        <w:rPr>
          <w:lang w:val="en-US" w:eastAsia="zh-CN"/>
        </w:rPr>
        <w:drawing>
          <wp:inline distT="0" distB="0" distL="0" distR="0">
            <wp:extent cx="3067050" cy="3095625"/>
            <wp:effectExtent l="0" t="0" r="0" b="9525"/>
            <wp:docPr id="11" name="图表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r>
        <w:rPr>
          <w:lang w:val="en-US" w:eastAsia="zh-CN"/>
        </w:rPr>
        <w:drawing>
          <wp:inline distT="0" distB="0" distL="0" distR="0">
            <wp:extent cx="3067050" cy="3095625"/>
            <wp:effectExtent l="0" t="0" r="0" b="9525"/>
            <wp:docPr id="13" name="图表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pPr>
        <w:pStyle w:val="145"/>
      </w:pPr>
      <w:r>
        <w:rPr>
          <w:lang w:val="en-US" w:eastAsia="zh-CN"/>
        </w:rPr>
        <w:drawing>
          <wp:inline distT="0" distB="0" distL="0" distR="0">
            <wp:extent cx="6188710" cy="2922270"/>
            <wp:effectExtent l="0" t="0" r="2540" b="0"/>
            <wp:docPr id="14" name="图表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pPr>
        <w:pStyle w:val="143"/>
        <w:rPr>
          <w:lang w:eastAsia="zh-CN"/>
        </w:rPr>
      </w:pPr>
      <w:r>
        <w:rPr>
          <w:rFonts w:hint="eastAsia"/>
          <w:lang w:eastAsia="zh-CN"/>
        </w:rPr>
        <w:t>如上图表/数据，摘自QYResearch最新报告“全球</w:t>
      </w:r>
      <w:r>
        <w:rPr>
          <w:lang w:eastAsia="zh-CN"/>
        </w:rPr>
        <w:t>包装膜</w:t>
      </w:r>
      <w:r>
        <w:rPr>
          <w:rFonts w:hint="eastAsia"/>
          <w:lang w:eastAsia="zh-CN"/>
        </w:rPr>
        <w:t>市场研究报告2023-2029</w:t>
      </w:r>
      <w:r>
        <w:rPr>
          <w:lang w:eastAsia="zh-CN"/>
        </w:rPr>
        <w:t>.</w:t>
      </w:r>
    </w:p>
    <w:p>
      <w:pPr>
        <w:pStyle w:val="145"/>
        <w:rPr>
          <w:lang w:eastAsia="zh-CN"/>
        </w:rPr>
      </w:pPr>
      <w:r>
        <w:rPr>
          <w:rFonts w:hint="eastAsia"/>
          <w:lang w:eastAsia="zh-CN"/>
        </w:rPr>
        <w:t>就产品应用而言，目前食品包装是最主要的应用领域，2</w:t>
      </w:r>
      <w:r>
        <w:rPr>
          <w:lang w:eastAsia="zh-CN"/>
        </w:rPr>
        <w:t>022</w:t>
      </w:r>
      <w:r>
        <w:rPr>
          <w:rFonts w:hint="eastAsia"/>
          <w:lang w:eastAsia="zh-CN"/>
        </w:rPr>
        <w:t>年食品包装的消费市场占据全球包装膜市场大约</w:t>
      </w:r>
      <w:r>
        <w:rPr>
          <w:lang w:eastAsia="zh-CN"/>
        </w:rPr>
        <w:t>44.3%</w:t>
      </w:r>
      <w:r>
        <w:rPr>
          <w:rFonts w:hint="eastAsia"/>
          <w:lang w:eastAsia="zh-CN"/>
        </w:rPr>
        <w:t>的份额。</w:t>
      </w:r>
    </w:p>
    <w:p>
      <w:pPr>
        <w:pStyle w:val="145"/>
        <w:rPr>
          <w:lang w:eastAsia="zh-CN"/>
        </w:rPr>
      </w:pPr>
      <w:r>
        <w:rPr>
          <w:lang w:eastAsia="zh-CN"/>
        </w:rPr>
        <w:br w:type="page"/>
      </w:r>
    </w:p>
    <w:p>
      <w:pPr>
        <w:pStyle w:val="148"/>
        <w:rPr>
          <w:lang w:eastAsia="zh-CN"/>
        </w:rPr>
      </w:pPr>
      <w:r>
        <w:rPr>
          <w:rFonts w:hint="eastAsia"/>
          <w:lang w:eastAsia="zh-CN"/>
        </w:rPr>
        <w:t>全球</w:t>
      </w:r>
      <w:r>
        <w:rPr>
          <w:lang w:eastAsia="zh-CN"/>
        </w:rPr>
        <w:t>包装膜</w:t>
      </w:r>
      <w:r>
        <w:rPr>
          <w:rFonts w:hint="eastAsia"/>
          <w:lang w:eastAsia="zh-CN"/>
        </w:rPr>
        <w:t>规模，主要消费地区份额（按消费值）</w:t>
      </w:r>
    </w:p>
    <w:p>
      <w:pPr>
        <w:pStyle w:val="143"/>
        <w:rPr>
          <w:lang w:eastAsia="zh-CN"/>
        </w:rPr>
      </w:pPr>
      <w:r>
        <w:rPr>
          <w:lang w:val="en-US" w:eastAsia="zh-CN"/>
        </w:rPr>
        <w:drawing>
          <wp:inline distT="0" distB="0" distL="0" distR="0">
            <wp:extent cx="6188710" cy="2922270"/>
            <wp:effectExtent l="0" t="0" r="2540" b="0"/>
            <wp:docPr id="15" name="图表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r>
        <w:rPr>
          <w:lang w:val="en-US" w:eastAsia="zh-CN"/>
        </w:rPr>
        <w:drawing>
          <wp:inline distT="0" distB="0" distL="0" distR="0">
            <wp:extent cx="6188710" cy="2922270"/>
            <wp:effectExtent l="0" t="0" r="2540" b="0"/>
            <wp:docPr id="16" name="图表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r>
        <w:rPr>
          <w:rFonts w:hint="eastAsia"/>
          <w:lang w:eastAsia="zh-CN"/>
        </w:rPr>
        <w:t>如上图表/数据，摘自QYResearch最新报告“全球</w:t>
      </w:r>
      <w:r>
        <w:rPr>
          <w:lang w:eastAsia="zh-CN"/>
        </w:rPr>
        <w:t>包装膜</w:t>
      </w:r>
      <w:r>
        <w:rPr>
          <w:rFonts w:hint="eastAsia"/>
          <w:lang w:eastAsia="zh-CN"/>
        </w:rPr>
        <w:t>市场研究报告2023-2029</w:t>
      </w:r>
      <w:r>
        <w:rPr>
          <w:lang w:eastAsia="zh-CN"/>
        </w:rPr>
        <w:t>.</w:t>
      </w:r>
    </w:p>
    <w:p>
      <w:pPr>
        <w:pStyle w:val="145"/>
        <w:rPr>
          <w:lang w:eastAsia="zh-CN"/>
        </w:rPr>
      </w:pPr>
      <w:r>
        <w:rPr>
          <w:rFonts w:hint="eastAsia"/>
          <w:lang w:eastAsia="zh-CN"/>
        </w:rPr>
        <w:t>就消费层面来说，目前亚太地区是全球最大的消费市场，2022年占有</w:t>
      </w:r>
      <w:r>
        <w:rPr>
          <w:lang w:eastAsia="zh-CN"/>
        </w:rPr>
        <w:t>59.2</w:t>
      </w:r>
      <w:r>
        <w:rPr>
          <w:rFonts w:hint="eastAsia"/>
          <w:lang w:eastAsia="zh-CN"/>
        </w:rPr>
        <w:t>%的市场份额，其次是北美及欧洲地区，预计未来几年，中东和非洲地区增长最快。</w:t>
      </w:r>
    </w:p>
    <w:p>
      <w:pPr>
        <w:pStyle w:val="145"/>
        <w:rPr>
          <w:lang w:eastAsia="zh-CN"/>
        </w:rPr>
      </w:pPr>
      <w:r>
        <w:rPr>
          <w:lang w:eastAsia="zh-CN"/>
        </w:rPr>
        <w:br w:type="page"/>
      </w:r>
    </w:p>
    <w:bookmarkEnd w:id="1"/>
    <w:bookmarkEnd w:id="2"/>
    <w:bookmarkEnd w:id="3"/>
    <w:bookmarkEnd w:id="4"/>
    <w:bookmarkEnd w:id="5"/>
    <w:bookmarkEnd w:id="6"/>
    <w:bookmarkEnd w:id="7"/>
    <w:bookmarkEnd w:id="8"/>
    <w:bookmarkEnd w:id="9"/>
    <w:bookmarkEnd w:id="10"/>
    <w:bookmarkEnd w:id="11"/>
    <w:bookmarkEnd w:id="12"/>
    <w:bookmarkEnd w:id="13"/>
    <w:p>
      <w:pPr>
        <w:pStyle w:val="167"/>
      </w:pPr>
      <w:bookmarkStart w:id="15" w:name="_GoBack"/>
      <w:bookmarkEnd w:id="15"/>
      <w:r>
        <w:rPr>
          <w:rFonts w:hint="eastAsia"/>
          <w:lang w:eastAsia="zh-CN"/>
        </w:rPr>
        <w:t>QYResearch简介</w:t>
      </w:r>
    </w:p>
    <w:p>
      <w:pPr>
        <w:pStyle w:val="145"/>
      </w:pPr>
      <w:r>
        <w:t>QYResearch founded in California, USA in 2007.It is a leading global market research and consulting company. With over 16 years’ experience and professional research team in various cities over the world QY Research focuses on management consulting, database and seminar services, IPO consulting, industry chain research and customized research to help our clients in providing non-linear revenue model and make them successful. We are globally recognized for our expansive portfolio of services, good corporate citizenship, and our strong commitment to sustainability. Up to now, we have cooperated with more than 60,000 clients across five continents. Let’s work closely with you and build a bold and better future.</w:t>
      </w:r>
    </w:p>
    <w:p>
      <w:pPr>
        <w:pStyle w:val="145"/>
      </w:pPr>
      <w:r>
        <w:t>QYResearch has been a reliable source for end-to-end market research needs of businesses. The report coverage at QYResearch is massive and unlocks an access to hundreds of key industry verticals and thousands of micro markets. When it comes to ready-to-purchase research, our clients can select from a huge repository. Custom research and pre-booked reports have also been the popular offerings of QYResearch.</w:t>
      </w:r>
    </w:p>
    <w:p>
      <w:pPr>
        <w:pStyle w:val="145"/>
      </w:pPr>
    </w:p>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等线 Light">
    <w:altName w:val="宋体"/>
    <w:panose1 w:val="02010600030101010101"/>
    <w:charset w:val="86"/>
    <w:family w:val="auto"/>
    <w:pitch w:val="default"/>
    <w:sig w:usb0="00000000" w:usb1="00000000" w:usb2="00000016" w:usb3="00000000" w:csb0="0004000F" w:csb1="00000000"/>
  </w:font>
  <w:font w:name="Book Antiqua">
    <w:altName w:val="Segoe Print"/>
    <w:panose1 w:val="02040602050305030304"/>
    <w:charset w:val="00"/>
    <w:family w:val="roman"/>
    <w:pitch w:val="default"/>
    <w:sig w:usb0="00000000" w:usb1="00000000" w:usb2="00000000" w:usb3="00000000" w:csb0="000000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80F3C52" w:usb2="00000016" w:usb3="00000000" w:csb0="0004001F" w:csb1="00000000"/>
  </w:font>
  <w:font w:name="Microsoft YaHei UI">
    <w:altName w:val="宋体"/>
    <w:panose1 w:val="020B0503020204020204"/>
    <w:charset w:val="86"/>
    <w:family w:val="swiss"/>
    <w:pitch w:val="default"/>
    <w:sig w:usb0="00000000" w:usb1="00000000" w:usb2="00000016" w:usb3="00000000" w:csb0="0004001F" w:csb1="00000000"/>
  </w:font>
  <w:font w:name="Courier New">
    <w:panose1 w:val="02070309020205020404"/>
    <w:charset w:val="00"/>
    <w:family w:val="modern"/>
    <w:pitch w:val="default"/>
    <w:sig w:usb0="E0002A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Arial">
    <w:panose1 w:val="020B0604020202020204"/>
    <w:charset w:val="00"/>
    <w:family w:val="swiss"/>
    <w:pitch w:val="default"/>
    <w:sig w:usb0="E0002AFF" w:usb1="C0007843" w:usb2="00000009" w:usb3="00000000" w:csb0="400001FF" w:csb1="FFFF0000"/>
  </w:font>
  <w:font w:name="Century Gothic">
    <w:altName w:val="Calibri"/>
    <w:panose1 w:val="020B0502020202020204"/>
    <w:charset w:val="00"/>
    <w:family w:val="swiss"/>
    <w:pitch w:val="default"/>
    <w:sig w:usb0="00000000" w:usb1="00000000" w:usb2="00000000" w:usb3="00000000" w:csb0="0000009F"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209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3120;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ZTA5ZDQ3NWE4ZjMxYjI3YzM5ZGFlMGQxODk1NDA3MmIifQ=="/>
  </w:docVars>
  <w:rsids>
    <w:rsidRoot w:val="00D33EE2"/>
    <w:rsid w:val="000002E5"/>
    <w:rsid w:val="0000037A"/>
    <w:rsid w:val="0000040F"/>
    <w:rsid w:val="0000064D"/>
    <w:rsid w:val="00000877"/>
    <w:rsid w:val="00000A89"/>
    <w:rsid w:val="00000CBB"/>
    <w:rsid w:val="00001917"/>
    <w:rsid w:val="00001B99"/>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69"/>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2D8"/>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E37"/>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158"/>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2E"/>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B2D"/>
    <w:rsid w:val="001E7CDB"/>
    <w:rsid w:val="001F0724"/>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9A7"/>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5A2"/>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4FA2"/>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06F"/>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0A"/>
    <w:rsid w:val="00491383"/>
    <w:rsid w:val="004913D8"/>
    <w:rsid w:val="0049166F"/>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CFA"/>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17C"/>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608"/>
    <w:rsid w:val="00574769"/>
    <w:rsid w:val="0057477D"/>
    <w:rsid w:val="005747B8"/>
    <w:rsid w:val="00574B8E"/>
    <w:rsid w:val="00574CBE"/>
    <w:rsid w:val="00574D00"/>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9C8"/>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389"/>
    <w:rsid w:val="00634487"/>
    <w:rsid w:val="006344EE"/>
    <w:rsid w:val="00634580"/>
    <w:rsid w:val="006346F1"/>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C6"/>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6F"/>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6F"/>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8A6"/>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9C7"/>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89F"/>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56"/>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B7D9F"/>
    <w:rsid w:val="009C0029"/>
    <w:rsid w:val="009C00C3"/>
    <w:rsid w:val="009C0547"/>
    <w:rsid w:val="009C06A0"/>
    <w:rsid w:val="009C06DA"/>
    <w:rsid w:val="009C0AA9"/>
    <w:rsid w:val="009C0BBA"/>
    <w:rsid w:val="009C0E08"/>
    <w:rsid w:val="009C0FB8"/>
    <w:rsid w:val="009C0FFC"/>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57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92"/>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6DB4"/>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44"/>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6CCC"/>
    <w:rsid w:val="00BB735E"/>
    <w:rsid w:val="00BB79D4"/>
    <w:rsid w:val="00BB7FB4"/>
    <w:rsid w:val="00BB7FC1"/>
    <w:rsid w:val="00BC002D"/>
    <w:rsid w:val="00BC00A3"/>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609"/>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057"/>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1E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286"/>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257"/>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2E5"/>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5C4"/>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18"/>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B4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6FE"/>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691"/>
    <w:rsid w:val="00E61A83"/>
    <w:rsid w:val="00E61CD6"/>
    <w:rsid w:val="00E61ED5"/>
    <w:rsid w:val="00E623ED"/>
    <w:rsid w:val="00E62575"/>
    <w:rsid w:val="00E62CCB"/>
    <w:rsid w:val="00E63413"/>
    <w:rsid w:val="00E6375D"/>
    <w:rsid w:val="00E63847"/>
    <w:rsid w:val="00E638FB"/>
    <w:rsid w:val="00E63FAE"/>
    <w:rsid w:val="00E64517"/>
    <w:rsid w:val="00E6470D"/>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975"/>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4FF4"/>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AE4"/>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73B"/>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875"/>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347"/>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7F6"/>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384178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semiHidden/>
    <w:unhideWhenUsed/>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semiHidden/>
    <w:unhideWhenUsed/>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uiPriority w:val="0"/>
  </w:style>
  <w:style w:type="paragraph" w:styleId="131">
    <w:name w:val="No Spacing"/>
    <w:link w:val="132"/>
    <w:autoRedefine/>
    <w:uiPriority w:val="1"/>
    <w:rPr>
      <w:rFonts w:ascii="Calibri" w:hAnsi="Calibri" w:eastAsia="宋体" w:cs="Times New Roman"/>
      <w:kern w:val="0"/>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autoRedefine/>
    <w:semiHidden/>
    <w:unhideWhenUsed/>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240" w:after="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imes New Roman" w:hAnsi="Times New Roman" w:eastAsia="宋体"/>
      <w:color w:val="0D0D0D" w:themeColor="text1" w:themeTint="F2"/>
      <w:kern w:val="0"/>
      <w:sz w:val="22"/>
      <w:szCs w:val="22"/>
      <w:lang w:val="en-IN" w:eastAsia="en-US"/>
      <w14:textFill>
        <w14:solidFill>
          <w14:schemeClr w14:val="tx1">
            <w14:lumMod w14:val="95000"/>
            <w14:lumOff w14:val="5000"/>
          </w14:schemeClr>
        </w14:solidFill>
      </w14:textFill>
    </w:rPr>
  </w:style>
  <w:style w:type="character" w:customStyle="1" w:styleId="147">
    <w:name w:val="列出段落 字符"/>
    <w:basedOn w:val="67"/>
    <w:link w:val="113"/>
    <w:autoRedefine/>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uiPriority w:val="0"/>
    <w:rPr>
      <w:rFonts w:ascii="Frutiger" w:hAnsi="Frutiger" w:eastAsia="宋体"/>
      <w:b/>
      <w:color w:val="FF8200"/>
      <w:kern w:val="0"/>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目录 2 字符"/>
    <w:basedOn w:val="67"/>
    <w:link w:val="29"/>
    <w:autoRedefine/>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List Table 2 Accent 4"/>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autoRedefine/>
    <w:qFormat/>
    <w:uiPriority w:val="99"/>
    <w:rPr>
      <w:rFonts w:eastAsia="Times New Roman"/>
      <w:color w:val="00B050"/>
      <w:kern w:val="0"/>
      <w:sz w:val="20"/>
      <w:szCs w:val="2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hart" Target="charts/chart2.xml"/><Relationship Id="rId8" Type="http://schemas.openxmlformats.org/officeDocument/2006/relationships/chart" Target="charts/chart1.xml"/><Relationship Id="rId7" Type="http://schemas.openxmlformats.org/officeDocument/2006/relationships/image" Target="media/image2.jpeg"/><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1" Type="http://schemas.openxmlformats.org/officeDocument/2006/relationships/fontTable" Target="fontTable.xml"/><Relationship Id="rId20" Type="http://schemas.openxmlformats.org/officeDocument/2006/relationships/customXml" Target="../customXml/item2.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chart" Target="charts/chart10.xml"/><Relationship Id="rId16" Type="http://schemas.openxmlformats.org/officeDocument/2006/relationships/chart" Target="charts/chart9.xml"/><Relationship Id="rId15" Type="http://schemas.openxmlformats.org/officeDocument/2006/relationships/chart" Target="charts/chart8.xml"/><Relationship Id="rId14" Type="http://schemas.openxmlformats.org/officeDocument/2006/relationships/chart" Target="charts/chart7.xml"/><Relationship Id="rId13" Type="http://schemas.openxmlformats.org/officeDocument/2006/relationships/chart" Target="charts/chart6.xml"/><Relationship Id="rId12" Type="http://schemas.openxmlformats.org/officeDocument/2006/relationships/chart" Target="charts/chart5.xml"/><Relationship Id="rId11" Type="http://schemas.openxmlformats.org/officeDocument/2006/relationships/chart" Target="charts/chart4.xml"/><Relationship Id="rId10" Type="http://schemas.openxmlformats.org/officeDocument/2006/relationships/chart" Target="charts/chart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4" Type="http://schemas.microsoft.com/office/2011/relationships/chartColorStyle" Target="colors4.xml"/><Relationship Id="rId3" Type="http://schemas.microsoft.com/office/2011/relationships/chartStyle" Target="style4.xml"/><Relationship Id="rId2" Type="http://schemas.openxmlformats.org/officeDocument/2006/relationships/chartUserShapes" Target="../drawings/drawing1.xml"/><Relationship Id="rId1" Type="http://schemas.openxmlformats.org/officeDocument/2006/relationships/oleObject" Target="file:///C:\Users\chensirui\Desktop\0920&#26032;&#38395;&#31295;\&#23567;&#40736;&#27169;&#22411;.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C:\Users\Administrator\Desktop\Feed%20Grade%20Calcium%20Propionate%20&#27169;&#26495;.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E:\2017&#24180;&#25253;&#21578;\2022&#24180;&#25253;&#21578;\2022&#24180;11&#26376;&#25253;&#21578;\11&#26376;15&#21495;%20&#21253;&#35013;&#33180;\&#35201;&#20132;&#30340;\Packaging%20Film%20%20data%204900%2011-14.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E:\2017&#24180;&#25253;&#21578;\2022&#24180;&#25253;&#21578;\2022&#24180;11&#26376;&#25253;&#21578;\11&#26376;15&#21495;%20&#21253;&#35013;&#33180;\&#35201;&#20132;&#30340;\Packaging%20Film%20%20data%204900%2011-14.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E:\2017&#24180;&#25253;&#21578;\2022&#24180;&#25253;&#21578;\2022&#24180;11&#26376;&#25253;&#21578;\11&#26376;15&#21495;%20&#21253;&#35013;&#33180;\&#35201;&#20132;&#30340;\Packaging%20Film%20%20data%204900%2011-14.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file:///E:\2017&#24180;&#25253;&#21578;\2022&#24180;&#25253;&#21578;\2022&#24180;11&#26376;&#25253;&#21578;\11&#26376;15&#21495;%20&#21253;&#35013;&#33180;\&#35201;&#20132;&#30340;\Packaging%20Film%20%20data%204900%2011-14.xlsx" TargetMode="External"/></Relationships>
</file>

<file path=word/charts/_rels/chart7.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oleObject" Target="file:///E:\2017&#24180;&#25253;&#21578;\2022&#24180;&#25253;&#21578;\2022&#24180;11&#26376;&#25253;&#21578;\11&#26376;15&#21495;%20&#21253;&#35013;&#33180;\&#35201;&#20132;&#30340;\Packaging%20Film%20%20data%204900%2011-14.xlsx" TargetMode="External"/></Relationships>
</file>

<file path=word/charts/_rels/chart8.xml.rels><?xml version="1.0" encoding="UTF-8" standalone="yes"?>
<Relationships xmlns="http://schemas.openxmlformats.org/package/2006/relationships"><Relationship Id="rId3" Type="http://schemas.microsoft.com/office/2011/relationships/chartColorStyle" Target="colors8.xml"/><Relationship Id="rId2" Type="http://schemas.microsoft.com/office/2011/relationships/chartStyle" Target="style8.xml"/><Relationship Id="rId1" Type="http://schemas.openxmlformats.org/officeDocument/2006/relationships/oleObject" Target="file:///E:\2017&#24180;&#25253;&#21578;\2022&#24180;&#25253;&#21578;\2022&#24180;11&#26376;&#25253;&#21578;\11&#26376;15&#21495;%20&#21253;&#35013;&#33180;\&#35201;&#20132;&#30340;\Packaging%20Film%20%20data%204900%2011-14.xlsx" TargetMode="External"/></Relationships>
</file>

<file path=word/charts/_rels/chart9.xml.rels><?xml version="1.0" encoding="UTF-8" standalone="yes"?>
<Relationships xmlns="http://schemas.openxmlformats.org/package/2006/relationships"><Relationship Id="rId3" Type="http://schemas.microsoft.com/office/2011/relationships/chartColorStyle" Target="colors9.xml"/><Relationship Id="rId2" Type="http://schemas.microsoft.com/office/2011/relationships/chartStyle" Target="style9.xml"/><Relationship Id="rId1" Type="http://schemas.openxmlformats.org/officeDocument/2006/relationships/oleObject" Target="file:///E:\2017&#24180;&#25253;&#21578;\2022&#24180;&#25253;&#21578;\2022&#24180;11&#26376;&#25253;&#21578;\11&#26376;15&#21495;%20&#21253;&#35013;&#33180;\&#35201;&#20132;&#30340;\Packaging%20Film%20%20data%204900%2011-14.xlsx" TargetMode="External"/></Relationships>
</file>

<file path=word/charts/_rels/chart10.xml.rels><?xml version="1.0" encoding="UTF-8" standalone="yes"?>
<Relationships xmlns="http://schemas.openxmlformats.org/package/2006/relationships"><Relationship Id="rId3" Type="http://schemas.microsoft.com/office/2011/relationships/chartColorStyle" Target="colors10.xml"/><Relationship Id="rId2" Type="http://schemas.microsoft.com/office/2011/relationships/chartStyle" Target="style10.xml"/><Relationship Id="rId1" Type="http://schemas.openxmlformats.org/officeDocument/2006/relationships/oleObject" Target="file:///E:\2017&#24180;&#25253;&#21578;\2022&#24180;&#25253;&#21578;\2022&#24180;11&#26376;&#25253;&#21578;\11&#26376;15&#21495;%20&#21253;&#35013;&#33180;\&#35201;&#20132;&#30340;\Packaging%20Film%20%20data%204900%2011-14.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100" b="0" i="0" u="none" strike="noStrike" kern="1200" spc="0" baseline="0">
                <a:solidFill>
                  <a:schemeClr val="tx1">
                    <a:lumMod val="65000"/>
                    <a:lumOff val="35000"/>
                  </a:schemeClr>
                </a:solidFill>
                <a:latin typeface="+mn-lt"/>
                <a:ea typeface="+mn-ea"/>
                <a:cs typeface="+mn-cs"/>
              </a:defRPr>
            </a:pPr>
            <a:r>
              <a:rPr lang="en-US" altLang="zh-CN" sz="1100">
                <a:latin typeface="Book Antiqua" panose="02040602050305030304" pitchFamily="1" charset="0"/>
              </a:rPr>
              <a:t>Global Market Size ($ Mn)</a:t>
            </a:r>
            <a:endParaRPr lang="en-US" altLang="zh-CN" sz="1100">
              <a:latin typeface="Book Antiqua" panose="02040602050305030304" pitchFamily="1" charset="0"/>
            </a:endParaRPr>
          </a:p>
        </c:rich>
      </c:tx>
      <c:layout/>
      <c:overlay val="0"/>
      <c:spPr>
        <a:noFill/>
        <a:ln>
          <a:noFill/>
        </a:ln>
        <a:effectLst/>
      </c:spPr>
    </c:title>
    <c:autoTitleDeleted val="0"/>
    <c:plotArea>
      <c:layout>
        <c:manualLayout>
          <c:layoutTarget val="inner"/>
          <c:xMode val="edge"/>
          <c:yMode val="edge"/>
          <c:x val="0.0759646194441168"/>
          <c:y val="0.141981747066493"/>
          <c:w val="0.901462017124732"/>
          <c:h val="0.763559150934034"/>
        </c:manualLayout>
      </c:layout>
      <c:barChart>
        <c:barDir val="col"/>
        <c:grouping val="clustered"/>
        <c:varyColors val="0"/>
        <c:ser>
          <c:idx val="0"/>
          <c:order val="0"/>
          <c:tx>
            <c:strRef>
              <c:f>全球总体!$A$22</c:f>
              <c:strCache>
                <c:ptCount val="1"/>
                <c:pt idx="0">
                  <c:v>Global Market Size ($ Mn)</c:v>
                </c:pt>
              </c:strCache>
            </c:strRef>
          </c:tx>
          <c:spPr>
            <a:solidFill>
              <a:srgbClr val="6826C8"/>
            </a:solidFill>
            <a:ln>
              <a:noFill/>
            </a:ln>
            <a:effectLst/>
          </c:spPr>
          <c:invertIfNegative val="0"/>
          <c:dLbls>
            <c:delete val="1"/>
          </c:dLbls>
          <c:cat>
            <c:numRef>
              <c:f>全球总体!$B$21:$D$21</c:f>
              <c:numCache>
                <c:formatCode>General</c:formatCode>
                <c:ptCount val="3"/>
                <c:pt idx="0">
                  <c:v>2018</c:v>
                </c:pt>
                <c:pt idx="1">
                  <c:v>2022</c:v>
                </c:pt>
                <c:pt idx="2">
                  <c:v>2029</c:v>
                </c:pt>
              </c:numCache>
            </c:numRef>
          </c:cat>
          <c:val>
            <c:numRef>
              <c:f>全球总体!$B$22:$D$22</c:f>
              <c:numCache>
                <c:formatCode>#,##0_ </c:formatCode>
                <c:ptCount val="3"/>
                <c:pt idx="0">
                  <c:v>2213</c:v>
                </c:pt>
                <c:pt idx="1">
                  <c:v>2495</c:v>
                </c:pt>
                <c:pt idx="2">
                  <c:v>3652</c:v>
                </c:pt>
              </c:numCache>
            </c:numRef>
          </c:val>
        </c:ser>
        <c:dLbls>
          <c:showLegendKey val="0"/>
          <c:showVal val="0"/>
          <c:showCatName val="0"/>
          <c:showSerName val="0"/>
          <c:showPercent val="0"/>
          <c:showBubbleSize val="0"/>
        </c:dLbls>
        <c:gapWidth val="219"/>
        <c:overlap val="-27"/>
        <c:axId val="719571343"/>
        <c:axId val="481370671"/>
      </c:barChart>
      <c:catAx>
        <c:axId val="71957134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81370671"/>
        <c:crosses val="autoZero"/>
        <c:auto val="1"/>
        <c:lblAlgn val="ctr"/>
        <c:lblOffset val="100"/>
        <c:noMultiLvlLbl val="0"/>
      </c:catAx>
      <c:valAx>
        <c:axId val="481370671"/>
        <c:scaling>
          <c:orientation val="minMax"/>
        </c:scaling>
        <c:delete val="1"/>
        <c:axPos val="l"/>
        <c:majorGridlines>
          <c:spPr>
            <a:ln w="9525" cap="flat" cmpd="sng" algn="ctr">
              <a:noFill/>
              <a:round/>
            </a:ln>
            <a:effectLst/>
          </c:spPr>
        </c:majorGridlines>
        <c:numFmt formatCode="#,##0_ " sourceLinked="1"/>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1957134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050" b="0" i="0" u="none" strike="noStrike" kern="1200" spc="0" baseline="0">
                <a:solidFill>
                  <a:schemeClr val="tx1">
                    <a:lumMod val="65000"/>
                    <a:lumOff val="35000"/>
                  </a:schemeClr>
                </a:solidFill>
                <a:latin typeface="Book Antiqua" panose="02040602050305030304" pitchFamily="1" charset="0"/>
                <a:ea typeface="+mn-ea"/>
                <a:cs typeface="+mn-cs"/>
              </a:defRPr>
            </a:pPr>
            <a:r>
              <a:rPr lang="zh-CN" altLang="en-US" sz="1050">
                <a:latin typeface="Book Antiqua" panose="02040602050305030304" pitchFamily="1" charset="0"/>
              </a:rPr>
              <a:t>全球市场主要企业排名</a:t>
            </a:r>
            <a:endParaRPr lang="en-US" altLang="zh-CN" sz="1050">
              <a:latin typeface="Book Antiqua" panose="02040602050305030304" pitchFamily="1" charset="0"/>
            </a:endParaRPr>
          </a:p>
        </c:rich>
      </c:tx>
      <c:layout>
        <c:manualLayout>
          <c:xMode val="edge"/>
          <c:yMode val="edge"/>
          <c:x val="0.332020778652668"/>
          <c:y val="0.0346320818516983"/>
        </c:manualLayout>
      </c:layout>
      <c:overlay val="0"/>
      <c:spPr>
        <a:noFill/>
        <a:ln>
          <a:noFill/>
        </a:ln>
        <a:effectLst/>
      </c:spPr>
    </c:title>
    <c:autoTitleDeleted val="0"/>
    <c:plotArea>
      <c:layout/>
      <c:barChart>
        <c:barDir val="bar"/>
        <c:grouping val="clustered"/>
        <c:varyColors val="1"/>
        <c:ser>
          <c:idx val="0"/>
          <c:order val="0"/>
          <c:tx>
            <c:strRef>
              <c:f>企业排序!$G$1</c:f>
              <c:strCache>
                <c:ptCount val="1"/>
                <c:pt idx="0">
                  <c:v>2022</c:v>
                </c:pt>
              </c:strCache>
            </c:strRef>
          </c:tx>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Pt>
            <c:idx val="4"/>
            <c:invertIfNegative val="0"/>
            <c:bubble3D val="0"/>
            <c:spPr>
              <a:solidFill>
                <a:schemeClr val="accent5"/>
              </a:solidFill>
              <a:ln>
                <a:noFill/>
              </a:ln>
              <a:effectLst/>
            </c:spPr>
          </c:dPt>
          <c:dPt>
            <c:idx val="5"/>
            <c:invertIfNegative val="0"/>
            <c:bubble3D val="0"/>
            <c:spPr>
              <a:solidFill>
                <a:schemeClr val="accent6"/>
              </a:solidFill>
              <a:ln>
                <a:noFill/>
              </a:ln>
              <a:effectLst/>
            </c:spPr>
          </c:dPt>
          <c:dPt>
            <c:idx val="6"/>
            <c:invertIfNegative val="0"/>
            <c:bubble3D val="0"/>
            <c:spPr>
              <a:solidFill>
                <a:schemeClr val="accent1">
                  <a:lumMod val="60000"/>
                </a:schemeClr>
              </a:solidFill>
              <a:ln>
                <a:noFill/>
              </a:ln>
              <a:effectLst/>
            </c:spPr>
          </c:dPt>
          <c:dPt>
            <c:idx val="7"/>
            <c:invertIfNegative val="0"/>
            <c:bubble3D val="0"/>
            <c:spPr>
              <a:solidFill>
                <a:schemeClr val="accent2">
                  <a:lumMod val="60000"/>
                </a:schemeClr>
              </a:solidFill>
              <a:ln>
                <a:noFill/>
              </a:ln>
              <a:effectLst/>
            </c:spPr>
          </c:dPt>
          <c:dPt>
            <c:idx val="8"/>
            <c:invertIfNegative val="0"/>
            <c:bubble3D val="0"/>
            <c:spPr>
              <a:solidFill>
                <a:schemeClr val="accent3">
                  <a:lumMod val="60000"/>
                </a:schemeClr>
              </a:solidFill>
              <a:ln>
                <a:noFill/>
              </a:ln>
              <a:effectLst/>
            </c:spPr>
          </c:dPt>
          <c:dPt>
            <c:idx val="9"/>
            <c:invertIfNegative val="0"/>
            <c:bubble3D val="0"/>
            <c:spPr>
              <a:solidFill>
                <a:schemeClr val="accent4">
                  <a:lumMod val="60000"/>
                </a:schemeClr>
              </a:solidFill>
              <a:ln>
                <a:noFill/>
              </a:ln>
              <a:effectLst/>
            </c:spPr>
          </c:dPt>
          <c:dPt>
            <c:idx val="10"/>
            <c:invertIfNegative val="0"/>
            <c:bubble3D val="0"/>
            <c:spPr>
              <a:solidFill>
                <a:schemeClr val="accent5">
                  <a:lumMod val="60000"/>
                </a:schemeClr>
              </a:solidFill>
              <a:ln>
                <a:noFill/>
              </a:ln>
              <a:effectLst/>
            </c:spPr>
          </c:dPt>
          <c:dPt>
            <c:idx val="11"/>
            <c:invertIfNegative val="0"/>
            <c:bubble3D val="0"/>
            <c:spPr>
              <a:solidFill>
                <a:schemeClr val="accent6">
                  <a:lumMod val="60000"/>
                </a:schemeClr>
              </a:solidFill>
              <a:ln>
                <a:noFill/>
              </a:ln>
              <a:effectLst/>
            </c:spPr>
          </c:dPt>
          <c:dPt>
            <c:idx val="12"/>
            <c:invertIfNegative val="0"/>
            <c:bubble3D val="0"/>
            <c:spPr>
              <a:solidFill>
                <a:schemeClr val="accent1">
                  <a:lumMod val="80000"/>
                  <a:lumOff val="20000"/>
                </a:schemeClr>
              </a:solidFill>
              <a:ln>
                <a:noFill/>
              </a:ln>
              <a:effectLst/>
            </c:spPr>
          </c:dPt>
          <c:dPt>
            <c:idx val="13"/>
            <c:invertIfNegative val="0"/>
            <c:bubble3D val="0"/>
            <c:spPr>
              <a:solidFill>
                <a:schemeClr val="accent2">
                  <a:lumMod val="80000"/>
                  <a:lumOff val="20000"/>
                </a:schemeClr>
              </a:solidFill>
              <a:ln>
                <a:noFill/>
              </a:ln>
              <a:effectLst/>
            </c:spPr>
          </c:dPt>
          <c:dPt>
            <c:idx val="14"/>
            <c:invertIfNegative val="0"/>
            <c:bubble3D val="0"/>
            <c:spPr>
              <a:solidFill>
                <a:schemeClr val="accent3">
                  <a:lumMod val="80000"/>
                  <a:lumOff val="20000"/>
                </a:schemeClr>
              </a:solidFill>
              <a:ln>
                <a:noFill/>
              </a:ln>
              <a:effectLst/>
            </c:spPr>
          </c:dPt>
          <c:dPt>
            <c:idx val="15"/>
            <c:invertIfNegative val="0"/>
            <c:bubble3D val="0"/>
            <c:spPr>
              <a:solidFill>
                <a:schemeClr val="accent4">
                  <a:lumMod val="80000"/>
                  <a:lumOff val="20000"/>
                </a:schemeClr>
              </a:solidFill>
              <a:ln>
                <a:noFill/>
              </a:ln>
              <a:effectLst/>
            </c:spPr>
          </c:dPt>
          <c:dPt>
            <c:idx val="16"/>
            <c:invertIfNegative val="0"/>
            <c:bubble3D val="0"/>
            <c:spPr>
              <a:solidFill>
                <a:schemeClr val="accent5">
                  <a:lumMod val="80000"/>
                  <a:lumOff val="20000"/>
                </a:schemeClr>
              </a:solidFill>
              <a:ln>
                <a:noFill/>
              </a:ln>
              <a:effectLst/>
            </c:spPr>
          </c:dPt>
          <c:dPt>
            <c:idx val="17"/>
            <c:invertIfNegative val="0"/>
            <c:bubble3D val="0"/>
            <c:spPr>
              <a:solidFill>
                <a:schemeClr val="accent6">
                  <a:lumMod val="80000"/>
                  <a:lumOff val="20000"/>
                </a:schemeClr>
              </a:solidFill>
              <a:ln>
                <a:noFill/>
              </a:ln>
              <a:effectLst/>
            </c:spPr>
          </c:dPt>
          <c:dPt>
            <c:idx val="18"/>
            <c:invertIfNegative val="0"/>
            <c:bubble3D val="0"/>
            <c:spPr>
              <a:solidFill>
                <a:schemeClr val="accent1">
                  <a:lumMod val="80000"/>
                </a:schemeClr>
              </a:solidFill>
              <a:ln>
                <a:noFill/>
              </a:ln>
              <a:effectLst/>
            </c:spPr>
          </c:dPt>
          <c:dPt>
            <c:idx val="19"/>
            <c:invertIfNegative val="0"/>
            <c:bubble3D val="0"/>
            <c:spPr>
              <a:solidFill>
                <a:schemeClr val="accent2">
                  <a:lumMod val="80000"/>
                </a:schemeClr>
              </a:solidFill>
              <a:ln>
                <a:noFill/>
              </a:ln>
              <a:effectLst/>
            </c:spPr>
          </c:dPt>
          <c:dPt>
            <c:idx val="20"/>
            <c:invertIfNegative val="0"/>
            <c:bubble3D val="0"/>
            <c:spPr>
              <a:solidFill>
                <a:schemeClr val="accent3">
                  <a:lumMod val="80000"/>
                </a:schemeClr>
              </a:solidFill>
              <a:ln>
                <a:noFill/>
              </a:ln>
              <a:effectLst/>
            </c:spPr>
          </c:dPt>
          <c:dPt>
            <c:idx val="21"/>
            <c:invertIfNegative val="0"/>
            <c:bubble3D val="0"/>
            <c:spPr>
              <a:solidFill>
                <a:schemeClr val="accent4">
                  <a:lumMod val="80000"/>
                </a:schemeClr>
              </a:solidFill>
              <a:ln>
                <a:noFill/>
              </a:ln>
              <a:effectLst/>
            </c:spPr>
          </c:dPt>
          <c:dLbls>
            <c:delete val="1"/>
          </c:dLbls>
          <c:cat>
            <c:strRef>
              <c:f>企业排序!$F$2:$F$23</c:f>
              <c:strCache>
                <c:ptCount val="22"/>
                <c:pt idx="0">
                  <c:v>广东正一</c:v>
                </c:pt>
                <c:pt idx="1">
                  <c:v>王子新材</c:v>
                </c:pt>
                <c:pt idx="2">
                  <c:v>中国永新</c:v>
                </c:pt>
                <c:pt idx="3">
                  <c:v>慧狮塑业</c:v>
                </c:pt>
                <c:pt idx="4">
                  <c:v>远大塑胶</c:v>
                </c:pt>
                <c:pt idx="5">
                  <c:v>斯迪克</c:v>
                </c:pt>
                <c:pt idx="6">
                  <c:v>沧州明珠</c:v>
                </c:pt>
                <c:pt idx="7">
                  <c:v>紫江企业</c:v>
                </c:pt>
                <c:pt idx="8">
                  <c:v>厦门长塑实业</c:v>
                </c:pt>
                <c:pt idx="9">
                  <c:v>绍兴翔宇绿色包装</c:v>
                </c:pt>
                <c:pt idx="10">
                  <c:v>大东南股份</c:v>
                </c:pt>
                <c:pt idx="11">
                  <c:v>康辉新材料</c:v>
                </c:pt>
                <c:pt idx="12">
                  <c:v>福建百宏实业</c:v>
                </c:pt>
                <c:pt idx="13">
                  <c:v>永盛薄膜</c:v>
                </c:pt>
                <c:pt idx="14">
                  <c:v>Oben Group</c:v>
                </c:pt>
                <c:pt idx="15">
                  <c:v>Innovia</c:v>
                </c:pt>
                <c:pt idx="16">
                  <c:v>福建福融新材料</c:v>
                </c:pt>
                <c:pt idx="17">
                  <c:v>金田新材</c:v>
                </c:pt>
                <c:pt idx="18">
                  <c:v>Taghleef</c:v>
                </c:pt>
                <c:pt idx="19">
                  <c:v>Amcor</c:v>
                </c:pt>
                <c:pt idx="20">
                  <c:v>东丽</c:v>
                </c:pt>
                <c:pt idx="21">
                  <c:v>Uflex</c:v>
                </c:pt>
              </c:strCache>
            </c:strRef>
          </c:cat>
          <c:val>
            <c:numRef>
              <c:f>企业排序!$G$2:$G$23</c:f>
              <c:numCache>
                <c:formatCode>#,##0.00_ </c:formatCode>
                <c:ptCount val="22"/>
                <c:pt idx="0">
                  <c:v>18.4</c:v>
                </c:pt>
                <c:pt idx="1">
                  <c:v>64.08</c:v>
                </c:pt>
                <c:pt idx="2">
                  <c:v>64.4</c:v>
                </c:pt>
                <c:pt idx="3">
                  <c:v>67.99</c:v>
                </c:pt>
                <c:pt idx="4">
                  <c:v>94.43</c:v>
                </c:pt>
                <c:pt idx="5">
                  <c:v>101.49</c:v>
                </c:pt>
                <c:pt idx="6">
                  <c:v>128.39</c:v>
                </c:pt>
                <c:pt idx="7">
                  <c:v>135.76</c:v>
                </c:pt>
                <c:pt idx="8">
                  <c:v>234.18</c:v>
                </c:pt>
                <c:pt idx="9">
                  <c:v>245.54</c:v>
                </c:pt>
                <c:pt idx="10">
                  <c:v>286.84</c:v>
                </c:pt>
                <c:pt idx="11">
                  <c:v>332.8</c:v>
                </c:pt>
                <c:pt idx="12">
                  <c:v>335.35</c:v>
                </c:pt>
                <c:pt idx="13">
                  <c:v>382.21</c:v>
                </c:pt>
                <c:pt idx="14">
                  <c:v>498.66</c:v>
                </c:pt>
                <c:pt idx="15">
                  <c:v>596</c:v>
                </c:pt>
                <c:pt idx="16">
                  <c:v>619.65</c:v>
                </c:pt>
                <c:pt idx="17">
                  <c:v>771.34</c:v>
                </c:pt>
                <c:pt idx="18">
                  <c:v>800.09</c:v>
                </c:pt>
                <c:pt idx="19">
                  <c:v>1141.17</c:v>
                </c:pt>
                <c:pt idx="20">
                  <c:v>1306.73</c:v>
                </c:pt>
                <c:pt idx="21">
                  <c:v>1341.47</c:v>
                </c:pt>
              </c:numCache>
            </c:numRef>
          </c:val>
        </c:ser>
        <c:dLbls>
          <c:showLegendKey val="0"/>
          <c:showVal val="0"/>
          <c:showCatName val="0"/>
          <c:showSerName val="0"/>
          <c:showPercent val="0"/>
          <c:showBubbleSize val="0"/>
        </c:dLbls>
        <c:gapWidth val="75"/>
        <c:axId val="1272139183"/>
        <c:axId val="1326546959"/>
      </c:barChart>
      <c:catAx>
        <c:axId val="1272139183"/>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326546959"/>
        <c:crosses val="autoZero"/>
        <c:auto val="1"/>
        <c:lblAlgn val="ctr"/>
        <c:lblOffset val="100"/>
        <c:noMultiLvlLbl val="0"/>
      </c:catAx>
      <c:valAx>
        <c:axId val="1326546959"/>
        <c:scaling>
          <c:orientation val="minMax"/>
        </c:scaling>
        <c:delete val="0"/>
        <c:axPos val="b"/>
        <c:majorGridlines>
          <c:spPr>
            <a:ln w="9525" cap="flat" cmpd="sng" algn="ctr">
              <a:noFill/>
              <a:round/>
            </a:ln>
            <a:effectLst/>
          </c:spPr>
        </c:majorGridlines>
        <c:numFmt formatCode="#,##0.0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2721391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'Type and Application'!$V$14</c:f>
              <c:strCache>
                <c:ptCount val="1"/>
                <c:pt idx="0">
                  <c:v>2022</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'Type and Application'!$P$15:$P$19</c:f>
              <c:strCache>
                <c:ptCount val="5"/>
                <c:pt idx="0">
                  <c:v>聚乙烯薄膜</c:v>
                </c:pt>
                <c:pt idx="1">
                  <c:v>双向拉伸聚酯（BOPET）膜</c:v>
                </c:pt>
                <c:pt idx="2">
                  <c:v>BOPP膜</c:v>
                </c:pt>
                <c:pt idx="3">
                  <c:v>CPP膜</c:v>
                </c:pt>
                <c:pt idx="4">
                  <c:v>其他</c:v>
                </c:pt>
              </c:strCache>
            </c:strRef>
          </c:cat>
          <c:val>
            <c:numRef>
              <c:f>'Type and Application'!$V$15:$V$19</c:f>
              <c:numCache>
                <c:formatCode>0.00%</c:formatCode>
                <c:ptCount val="5"/>
                <c:pt idx="0">
                  <c:v>0.278780383143213</c:v>
                </c:pt>
                <c:pt idx="1">
                  <c:v>0.125425438529662</c:v>
                </c:pt>
                <c:pt idx="2">
                  <c:v>0.14658510490425</c:v>
                </c:pt>
                <c:pt idx="3">
                  <c:v>0.0504072223988538</c:v>
                </c:pt>
                <c:pt idx="4">
                  <c:v>0.398801851024022</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'Type and Application'!$AB$14</c:f>
              <c:strCache>
                <c:ptCount val="1"/>
                <c:pt idx="0">
                  <c:v>2029</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'Type and Application'!$P$15:$P$19</c:f>
              <c:strCache>
                <c:ptCount val="5"/>
                <c:pt idx="0">
                  <c:v>聚乙烯薄膜</c:v>
                </c:pt>
                <c:pt idx="1">
                  <c:v>双向拉伸聚酯（BOPET）膜</c:v>
                </c:pt>
                <c:pt idx="2">
                  <c:v>BOPP膜</c:v>
                </c:pt>
                <c:pt idx="3">
                  <c:v>CPP膜</c:v>
                </c:pt>
                <c:pt idx="4">
                  <c:v>其他</c:v>
                </c:pt>
              </c:strCache>
            </c:strRef>
          </c:cat>
          <c:val>
            <c:numRef>
              <c:f>'Type and Application'!$AB$15:$AB$19</c:f>
              <c:numCache>
                <c:formatCode>0.00%</c:formatCode>
                <c:ptCount val="5"/>
                <c:pt idx="0">
                  <c:v>0.261979682504537</c:v>
                </c:pt>
                <c:pt idx="1">
                  <c:v>0.143722187731294</c:v>
                </c:pt>
                <c:pt idx="2">
                  <c:v>0.157703166038892</c:v>
                </c:pt>
                <c:pt idx="3">
                  <c:v>0.0532368737516428</c:v>
                </c:pt>
                <c:pt idx="4">
                  <c:v>0.383358089973635</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691853395061729"/>
          <c:y val="0.0211666666666667"/>
          <c:w val="0.897009594053696"/>
          <c:h val="0.755441666666667"/>
        </c:manualLayout>
      </c:layout>
      <c:barChart>
        <c:barDir val="col"/>
        <c:grouping val="stacked"/>
        <c:varyColors val="0"/>
        <c:ser>
          <c:idx val="0"/>
          <c:order val="0"/>
          <c:tx>
            <c:strRef>
              <c:f>'Type and Application'!$B$15</c:f>
              <c:strCache>
                <c:ptCount val="1"/>
                <c:pt idx="0">
                  <c:v>聚乙烯薄膜</c:v>
                </c:pt>
              </c:strCache>
            </c:strRef>
          </c:tx>
          <c:spPr>
            <a:solidFill>
              <a:srgbClr val="002060"/>
            </a:solidFill>
            <a:ln>
              <a:noFill/>
            </a:ln>
            <a:effectLst/>
          </c:spPr>
          <c:invertIfNegative val="0"/>
          <c:dLbls>
            <c:delete val="1"/>
          </c:dLbls>
          <c:cat>
            <c:numRef>
              <c:f>'Type and Application'!$D$14:$O$14</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'Type and Application'!$D$15:$O$15</c:f>
              <c:numCache>
                <c:formatCode>_(* #,##0.00_);_(* \(#,##0.00\);_(* "-"??_);_(@_)</c:formatCode>
                <c:ptCount val="12"/>
                <c:pt idx="0">
                  <c:v>33043.6347708919</c:v>
                </c:pt>
                <c:pt idx="1">
                  <c:v>35335.7712351614</c:v>
                </c:pt>
                <c:pt idx="2">
                  <c:v>31782.7975149966</c:v>
                </c:pt>
                <c:pt idx="3">
                  <c:v>36036.8097320199</c:v>
                </c:pt>
                <c:pt idx="4">
                  <c:v>38820.7649427123</c:v>
                </c:pt>
                <c:pt idx="5">
                  <c:v>40352.3905002064</c:v>
                </c:pt>
                <c:pt idx="6">
                  <c:v>41930.5717807372</c:v>
                </c:pt>
                <c:pt idx="7">
                  <c:v>43532.0278520954</c:v>
                </c:pt>
                <c:pt idx="8">
                  <c:v>45224.7534328196</c:v>
                </c:pt>
                <c:pt idx="9">
                  <c:v>47129.0742992278</c:v>
                </c:pt>
                <c:pt idx="10">
                  <c:v>49114.9946501094</c:v>
                </c:pt>
                <c:pt idx="11" c:formatCode="General">
                  <c:v>51413.5763997346</c:v>
                </c:pt>
              </c:numCache>
            </c:numRef>
          </c:val>
        </c:ser>
        <c:ser>
          <c:idx val="1"/>
          <c:order val="1"/>
          <c:tx>
            <c:strRef>
              <c:f>'Type and Application'!$B$16</c:f>
              <c:strCache>
                <c:ptCount val="1"/>
                <c:pt idx="0">
                  <c:v>双向拉伸聚酯（BOPET）膜</c:v>
                </c:pt>
              </c:strCache>
            </c:strRef>
          </c:tx>
          <c:spPr>
            <a:solidFill>
              <a:schemeClr val="bg1">
                <a:lumMod val="50000"/>
              </a:schemeClr>
            </a:solidFill>
            <a:ln>
              <a:noFill/>
            </a:ln>
            <a:effectLst/>
          </c:spPr>
          <c:invertIfNegative val="0"/>
          <c:dLbls>
            <c:delete val="1"/>
          </c:dLbls>
          <c:cat>
            <c:numRef>
              <c:f>'Type and Application'!$D$14:$O$14</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'Type and Application'!$D$16:$O$16</c:f>
              <c:numCache>
                <c:formatCode>_(* #,##0.00_);_(* \(#,##0.00\);_(* "-"??_);_(@_)</c:formatCode>
                <c:ptCount val="12"/>
                <c:pt idx="0">
                  <c:v>12555.6775781261</c:v>
                </c:pt>
                <c:pt idx="1">
                  <c:v>12962.462707266</c:v>
                </c:pt>
                <c:pt idx="2">
                  <c:v>13074.1225162878</c:v>
                </c:pt>
                <c:pt idx="3">
                  <c:v>15232.9785355097</c:v>
                </c:pt>
                <c:pt idx="4">
                  <c:v>17465.7607256939</c:v>
                </c:pt>
                <c:pt idx="5">
                  <c:v>18610.3603128235</c:v>
                </c:pt>
                <c:pt idx="6">
                  <c:v>20180.5934538172</c:v>
                </c:pt>
                <c:pt idx="7">
                  <c:v>21717.9235679868</c:v>
                </c:pt>
                <c:pt idx="8">
                  <c:v>23477.2299090889</c:v>
                </c:pt>
                <c:pt idx="9">
                  <c:v>25009.116288148</c:v>
                </c:pt>
                <c:pt idx="10">
                  <c:v>26944.5111698777</c:v>
                </c:pt>
                <c:pt idx="11" c:formatCode="General">
                  <c:v>28205.514292628</c:v>
                </c:pt>
              </c:numCache>
            </c:numRef>
          </c:val>
        </c:ser>
        <c:ser>
          <c:idx val="2"/>
          <c:order val="2"/>
          <c:tx>
            <c:strRef>
              <c:f>'Type and Application'!$B$17</c:f>
              <c:strCache>
                <c:ptCount val="1"/>
                <c:pt idx="0">
                  <c:v>BOPP膜</c:v>
                </c:pt>
              </c:strCache>
            </c:strRef>
          </c:tx>
          <c:spPr>
            <a:solidFill>
              <a:schemeClr val="accent3"/>
            </a:solidFill>
            <a:ln>
              <a:noFill/>
            </a:ln>
            <a:effectLst/>
          </c:spPr>
          <c:invertIfNegative val="0"/>
          <c:dLbls>
            <c:delete val="1"/>
          </c:dLbls>
          <c:cat>
            <c:numRef>
              <c:f>'Type and Application'!$D$14:$O$14</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'Type and Application'!$D$17:$O$17</c:f>
              <c:numCache>
                <c:formatCode>_(* #,##0.00_);_(* \(#,##0.00\);_(* "-"??_);_(@_)</c:formatCode>
                <c:ptCount val="12"/>
                <c:pt idx="0">
                  <c:v>17260.537214746</c:v>
                </c:pt>
                <c:pt idx="1">
                  <c:v>18045.424391419</c:v>
                </c:pt>
                <c:pt idx="2">
                  <c:v>17437.0985223062</c:v>
                </c:pt>
                <c:pt idx="3">
                  <c:v>18619.9912317876</c:v>
                </c:pt>
                <c:pt idx="4">
                  <c:v>20412.2895500412</c:v>
                </c:pt>
                <c:pt idx="5">
                  <c:v>21550.5397147286</c:v>
                </c:pt>
                <c:pt idx="6">
                  <c:v>22826.1474496346</c:v>
                </c:pt>
                <c:pt idx="7">
                  <c:v>24382.9540443986</c:v>
                </c:pt>
                <c:pt idx="8">
                  <c:v>25974.7414336286</c:v>
                </c:pt>
                <c:pt idx="9">
                  <c:v>27626.0283288166</c:v>
                </c:pt>
                <c:pt idx="10">
                  <c:v>29565.6139524154</c:v>
                </c:pt>
                <c:pt idx="11" c:formatCode="General">
                  <c:v>30949.2846853885</c:v>
                </c:pt>
              </c:numCache>
            </c:numRef>
          </c:val>
        </c:ser>
        <c:ser>
          <c:idx val="3"/>
          <c:order val="3"/>
          <c:tx>
            <c:strRef>
              <c:f>'Type and Application'!$B$18</c:f>
              <c:strCache>
                <c:ptCount val="1"/>
                <c:pt idx="0">
                  <c:v>CPP膜</c:v>
                </c:pt>
              </c:strCache>
            </c:strRef>
          </c:tx>
          <c:spPr>
            <a:solidFill>
              <a:schemeClr val="accent4"/>
            </a:solidFill>
            <a:ln>
              <a:noFill/>
            </a:ln>
            <a:effectLst/>
          </c:spPr>
          <c:invertIfNegative val="0"/>
          <c:dLbls>
            <c:delete val="1"/>
          </c:dLbls>
          <c:cat>
            <c:numRef>
              <c:f>'Type and Application'!$D$14:$O$14</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'Type and Application'!$D$18:$O$18</c:f>
              <c:numCache>
                <c:formatCode>_(* #,##0.00_);_(* \(#,##0.00\);_(* "-"??_);_(@_)</c:formatCode>
                <c:ptCount val="12"/>
                <c:pt idx="0">
                  <c:v>5642.17863804486</c:v>
                </c:pt>
                <c:pt idx="1">
                  <c:v>6055.74870330019</c:v>
                </c:pt>
                <c:pt idx="2">
                  <c:v>5691.94273715375</c:v>
                </c:pt>
                <c:pt idx="3">
                  <c:v>6385.80978236895</c:v>
                </c:pt>
                <c:pt idx="4">
                  <c:v>7019.31359049632</c:v>
                </c:pt>
                <c:pt idx="5">
                  <c:v>7488.81898774861</c:v>
                </c:pt>
                <c:pt idx="6">
                  <c:v>7962.93611385718</c:v>
                </c:pt>
                <c:pt idx="7">
                  <c:v>8448.10344313287</c:v>
                </c:pt>
                <c:pt idx="8">
                  <c:v>8938.4540631178</c:v>
                </c:pt>
                <c:pt idx="9">
                  <c:v>9431.90281328261</c:v>
                </c:pt>
                <c:pt idx="10">
                  <c:v>9980.6547763688</c:v>
                </c:pt>
                <c:pt idx="11" c:formatCode="General">
                  <c:v>10447.7494199029</c:v>
                </c:pt>
              </c:numCache>
            </c:numRef>
          </c:val>
        </c:ser>
        <c:ser>
          <c:idx val="4"/>
          <c:order val="4"/>
          <c:tx>
            <c:strRef>
              <c:f>'Type and Application'!$B$19</c:f>
              <c:strCache>
                <c:ptCount val="1"/>
                <c:pt idx="0">
                  <c:v>其他</c:v>
                </c:pt>
              </c:strCache>
            </c:strRef>
          </c:tx>
          <c:spPr>
            <a:solidFill>
              <a:schemeClr val="accent5"/>
            </a:solidFill>
            <a:ln>
              <a:noFill/>
            </a:ln>
            <a:effectLst/>
          </c:spPr>
          <c:invertIfNegative val="0"/>
          <c:dLbls>
            <c:delete val="1"/>
          </c:dLbls>
          <c:cat>
            <c:numRef>
              <c:f>'Type and Application'!$D$14:$O$14</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'Type and Application'!$D$19:$O$19</c:f>
              <c:numCache>
                <c:formatCode>_(* #,##0.00_);_(* \(#,##0.00\);_(* "-"??_);_(@_)</c:formatCode>
                <c:ptCount val="12"/>
                <c:pt idx="0">
                  <c:v>42533.6217981911</c:v>
                </c:pt>
                <c:pt idx="1">
                  <c:v>41267.8829628534</c:v>
                </c:pt>
                <c:pt idx="2">
                  <c:v>44085.6587092557</c:v>
                </c:pt>
                <c:pt idx="3">
                  <c:v>52298.4907183139</c:v>
                </c:pt>
                <c:pt idx="4">
                  <c:v>55534.0111910562</c:v>
                </c:pt>
                <c:pt idx="5">
                  <c:v>58697.7304844929</c:v>
                </c:pt>
                <c:pt idx="6">
                  <c:v>61900.4512019538</c:v>
                </c:pt>
                <c:pt idx="7">
                  <c:v>63894.9810923863</c:v>
                </c:pt>
                <c:pt idx="8">
                  <c:v>67006.4111613451</c:v>
                </c:pt>
                <c:pt idx="9">
                  <c:v>69117.5982705249</c:v>
                </c:pt>
                <c:pt idx="10">
                  <c:v>71870.5754512287</c:v>
                </c:pt>
                <c:pt idx="11" c:formatCode="General">
                  <c:v>75234.1183823461</c:v>
                </c:pt>
              </c:numCache>
            </c:numRef>
          </c:val>
        </c:ser>
        <c:dLbls>
          <c:showLegendKey val="0"/>
          <c:showVal val="0"/>
          <c:showCatName val="0"/>
          <c:showSerName val="0"/>
          <c:showPercent val="0"/>
          <c:showBubbleSize val="0"/>
        </c:dLbls>
        <c:gapWidth val="25"/>
        <c:overlap val="100"/>
        <c:axId val="2101581920"/>
        <c:axId val="2101559456"/>
      </c:barChart>
      <c:catAx>
        <c:axId val="21015819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559456"/>
        <c:crosses val="autoZero"/>
        <c:auto val="1"/>
        <c:lblAlgn val="ctr"/>
        <c:lblOffset val="100"/>
        <c:noMultiLvlLbl val="0"/>
      </c:catAx>
      <c:valAx>
        <c:axId val="2101559456"/>
        <c:scaling>
          <c:orientation val="minMax"/>
        </c:scaling>
        <c:delete val="0"/>
        <c:axPos val="l"/>
        <c:majorGridlines>
          <c:spPr>
            <a:ln w="9525" cap="flat" cmpd="sng" algn="ctr">
              <a:noFill/>
              <a:round/>
            </a:ln>
            <a:effectLst/>
          </c:spPr>
        </c:majorGridlines>
        <c:numFmt formatCode="#,##0_);[Red]\(#,##0\)"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581920"/>
        <c:crosses val="autoZero"/>
        <c:crossBetween val="between"/>
      </c:valAx>
      <c:spPr>
        <a:noFill/>
        <a:ln>
          <a:noFill/>
        </a:ln>
        <a:effectLst/>
      </c:spPr>
    </c:plotArea>
    <c:legend>
      <c:legendPos val="b"/>
      <c:layout>
        <c:manualLayout>
          <c:xMode val="edge"/>
          <c:yMode val="edge"/>
          <c:x val="0.0695485312899106"/>
          <c:y val="0.865502222222222"/>
          <c:w val="0.902683596419932"/>
          <c:h val="0.064603886704514"/>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'Type and Application'!$V$118</c:f>
              <c:strCache>
                <c:ptCount val="1"/>
                <c:pt idx="0">
                  <c:v>2022</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'Type and Application'!$P$119:$P$122</c:f>
              <c:strCache>
                <c:ptCount val="4"/>
                <c:pt idx="0">
                  <c:v>食品包装</c:v>
                </c:pt>
                <c:pt idx="1">
                  <c:v>药品包装</c:v>
                </c:pt>
                <c:pt idx="2">
                  <c:v>纺织包装</c:v>
                </c:pt>
                <c:pt idx="3">
                  <c:v>其他</c:v>
                </c:pt>
              </c:strCache>
            </c:strRef>
          </c:cat>
          <c:val>
            <c:numRef>
              <c:f>'Type and Application'!$V$119:$V$122</c:f>
              <c:numCache>
                <c:formatCode>0.00%</c:formatCode>
                <c:ptCount val="4"/>
                <c:pt idx="0">
                  <c:v>0.443101433327027</c:v>
                </c:pt>
                <c:pt idx="1">
                  <c:v>0.230283363744168</c:v>
                </c:pt>
                <c:pt idx="2">
                  <c:v>0.0641131223275884</c:v>
                </c:pt>
                <c:pt idx="3">
                  <c:v>0.262502080601217</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'Type and Application'!$AB$118</c:f>
              <c:strCache>
                <c:ptCount val="1"/>
                <c:pt idx="0">
                  <c:v>2029</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'Type and Application'!$P$119:$P$122</c:f>
              <c:strCache>
                <c:ptCount val="4"/>
                <c:pt idx="0">
                  <c:v>食品包装</c:v>
                </c:pt>
                <c:pt idx="1">
                  <c:v>药品包装</c:v>
                </c:pt>
                <c:pt idx="2">
                  <c:v>纺织包装</c:v>
                </c:pt>
                <c:pt idx="3">
                  <c:v>其他</c:v>
                </c:pt>
              </c:strCache>
            </c:strRef>
          </c:cat>
          <c:val>
            <c:numRef>
              <c:f>'Type and Application'!$AB$119:$AB$122</c:f>
              <c:numCache>
                <c:formatCode>0.00%</c:formatCode>
                <c:ptCount val="4"/>
                <c:pt idx="0">
                  <c:v>0.421390363463351</c:v>
                </c:pt>
                <c:pt idx="1">
                  <c:v>0.240471864882823</c:v>
                </c:pt>
                <c:pt idx="2">
                  <c:v>0.0613902990464517</c:v>
                </c:pt>
                <c:pt idx="3">
                  <c:v>0.276747472607374</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691853448275862"/>
          <c:y val="0.03175"/>
          <c:w val="0.897009594053696"/>
          <c:h val="0.755441666666667"/>
        </c:manualLayout>
      </c:layout>
      <c:barChart>
        <c:barDir val="col"/>
        <c:grouping val="stacked"/>
        <c:varyColors val="0"/>
        <c:ser>
          <c:idx val="0"/>
          <c:order val="0"/>
          <c:tx>
            <c:strRef>
              <c:f>'Type and Application'!$B$119</c:f>
              <c:strCache>
                <c:ptCount val="1"/>
                <c:pt idx="0">
                  <c:v>食品包装</c:v>
                </c:pt>
              </c:strCache>
            </c:strRef>
          </c:tx>
          <c:spPr>
            <a:solidFill>
              <a:srgbClr val="002060"/>
            </a:solidFill>
            <a:ln>
              <a:noFill/>
            </a:ln>
            <a:effectLst/>
          </c:spPr>
          <c:invertIfNegative val="0"/>
          <c:dLbls>
            <c:delete val="1"/>
          </c:dLbls>
          <c:cat>
            <c:numRef>
              <c:f>'Type and Application'!$D$118:$O$118</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'Type and Application'!$D$119:$O$119</c:f>
              <c:numCache>
                <c:formatCode>_(* #,##0.00_);_(* \(#,##0.00\);_(* "-"??_);_(@_)</c:formatCode>
                <c:ptCount val="12"/>
                <c:pt idx="0">
                  <c:v>47286.7380415491</c:v>
                </c:pt>
                <c:pt idx="1">
                  <c:v>51898.3542922185</c:v>
                </c:pt>
                <c:pt idx="2">
                  <c:v>50461.6764356208</c:v>
                </c:pt>
                <c:pt idx="3">
                  <c:v>57095.4467430167</c:v>
                </c:pt>
                <c:pt idx="4">
                  <c:v>61702.8228278558</c:v>
                </c:pt>
                <c:pt idx="5">
                  <c:v>64451.7520179339</c:v>
                </c:pt>
                <c:pt idx="6">
                  <c:v>67126.3872595841</c:v>
                </c:pt>
                <c:pt idx="7">
                  <c:v>69704.5690963115</c:v>
                </c:pt>
                <c:pt idx="8">
                  <c:v>73001.5429717231</c:v>
                </c:pt>
                <c:pt idx="9">
                  <c:v>75740.5555791339</c:v>
                </c:pt>
                <c:pt idx="10">
                  <c:v>79000.7272672825</c:v>
                </c:pt>
                <c:pt idx="11" c:formatCode="General">
                  <c:v>82697.9613033913</c:v>
                </c:pt>
              </c:numCache>
            </c:numRef>
          </c:val>
        </c:ser>
        <c:ser>
          <c:idx val="1"/>
          <c:order val="1"/>
          <c:tx>
            <c:strRef>
              <c:f>'Type and Application'!$B$120</c:f>
              <c:strCache>
                <c:ptCount val="1"/>
                <c:pt idx="0">
                  <c:v>药品包装</c:v>
                </c:pt>
              </c:strCache>
            </c:strRef>
          </c:tx>
          <c:spPr>
            <a:solidFill>
              <a:schemeClr val="bg1">
                <a:lumMod val="50000"/>
              </a:schemeClr>
            </a:solidFill>
            <a:ln>
              <a:noFill/>
            </a:ln>
            <a:effectLst/>
          </c:spPr>
          <c:invertIfNegative val="0"/>
          <c:dLbls>
            <c:delete val="1"/>
          </c:dLbls>
          <c:cat>
            <c:numRef>
              <c:f>'Type and Application'!$D$118:$O$118</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'Type and Application'!$D$120:$O$120</c:f>
              <c:numCache>
                <c:formatCode>_(* #,##0.00_);_(* \(#,##0.00\);_(* "-"??_);_(@_)</c:formatCode>
                <c:ptCount val="12"/>
                <c:pt idx="0">
                  <c:v>26339.12533924</c:v>
                </c:pt>
                <c:pt idx="1">
                  <c:v>25328.3068978433</c:v>
                </c:pt>
                <c:pt idx="2">
                  <c:v>25161.7198111992</c:v>
                </c:pt>
                <c:pt idx="3">
                  <c:v>29455.2174084506</c:v>
                </c:pt>
                <c:pt idx="4">
                  <c:v>32067.4512077738</c:v>
                </c:pt>
                <c:pt idx="5">
                  <c:v>34222.6914275016</c:v>
                </c:pt>
                <c:pt idx="6">
                  <c:v>36510.379443483</c:v>
                </c:pt>
                <c:pt idx="7">
                  <c:v>38362.8883079026</c:v>
                </c:pt>
                <c:pt idx="8">
                  <c:v>40653.5594130925</c:v>
                </c:pt>
                <c:pt idx="9">
                  <c:v>42511.059532835</c:v>
                </c:pt>
                <c:pt idx="10">
                  <c:v>45082.7875059249</c:v>
                </c:pt>
                <c:pt idx="11" c:formatCode="General">
                  <c:v>47192.6619612022</c:v>
                </c:pt>
              </c:numCache>
            </c:numRef>
          </c:val>
        </c:ser>
        <c:ser>
          <c:idx val="2"/>
          <c:order val="2"/>
          <c:tx>
            <c:strRef>
              <c:f>'Type and Application'!$B$121</c:f>
              <c:strCache>
                <c:ptCount val="1"/>
                <c:pt idx="0">
                  <c:v>纺织包装</c:v>
                </c:pt>
              </c:strCache>
            </c:strRef>
          </c:tx>
          <c:spPr>
            <a:solidFill>
              <a:schemeClr val="accent3"/>
            </a:solidFill>
            <a:ln>
              <a:noFill/>
            </a:ln>
            <a:effectLst/>
          </c:spPr>
          <c:invertIfNegative val="0"/>
          <c:dLbls>
            <c:delete val="1"/>
          </c:dLbls>
          <c:cat>
            <c:numRef>
              <c:f>'Type and Application'!$D$118:$O$118</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'Type and Application'!$D$121:$O$121</c:f>
              <c:numCache>
                <c:formatCode>_(* #,##0.00_);_(* \(#,##0.00\);_(* "-"??_);_(@_)</c:formatCode>
                <c:ptCount val="12"/>
                <c:pt idx="0">
                  <c:v>7785.3868351402</c:v>
                </c:pt>
                <c:pt idx="1">
                  <c:v>7394.11406325633</c:v>
                </c:pt>
                <c:pt idx="2">
                  <c:v>7323.40438030373</c:v>
                </c:pt>
                <c:pt idx="3">
                  <c:v>8267.50720233188</c:v>
                </c:pt>
                <c:pt idx="4">
                  <c:v>8927.88948619847</c:v>
                </c:pt>
                <c:pt idx="5">
                  <c:v>9510.98592996866</c:v>
                </c:pt>
                <c:pt idx="6">
                  <c:v>9854.8103024156</c:v>
                </c:pt>
                <c:pt idx="7">
                  <c:v>10225.6137849835</c:v>
                </c:pt>
                <c:pt idx="8">
                  <c:v>10651.5736957278</c:v>
                </c:pt>
                <c:pt idx="9">
                  <c:v>11069.3588706294</c:v>
                </c:pt>
                <c:pt idx="10">
                  <c:v>11509.2291906373</c:v>
                </c:pt>
                <c:pt idx="11" c:formatCode="General">
                  <c:v>12047.8611167591</c:v>
                </c:pt>
              </c:numCache>
            </c:numRef>
          </c:val>
        </c:ser>
        <c:ser>
          <c:idx val="3"/>
          <c:order val="3"/>
          <c:tx>
            <c:strRef>
              <c:f>'Type and Application'!$B$122</c:f>
              <c:strCache>
                <c:ptCount val="1"/>
                <c:pt idx="0">
                  <c:v>其他</c:v>
                </c:pt>
              </c:strCache>
            </c:strRef>
          </c:tx>
          <c:spPr>
            <a:solidFill>
              <a:schemeClr val="accent4"/>
            </a:solidFill>
            <a:ln>
              <a:noFill/>
            </a:ln>
            <a:effectLst/>
          </c:spPr>
          <c:invertIfNegative val="0"/>
          <c:dLbls>
            <c:delete val="1"/>
          </c:dLbls>
          <c:cat>
            <c:numRef>
              <c:f>'Type and Application'!$D$118:$O$118</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'Type and Application'!$D$122:$O$122</c:f>
              <c:numCache>
                <c:formatCode>_(* #,##0.00_);_(* \(#,##0.00\);_(* "-"??_);_(@_)</c:formatCode>
                <c:ptCount val="12"/>
                <c:pt idx="0">
                  <c:v>29624.3997840708</c:v>
                </c:pt>
                <c:pt idx="1">
                  <c:v>29046.5147466819</c:v>
                </c:pt>
                <c:pt idx="2">
                  <c:v>29124.8193728763</c:v>
                </c:pt>
                <c:pt idx="3">
                  <c:v>33755.9086462008</c:v>
                </c:pt>
                <c:pt idx="4">
                  <c:v>36553.976478172</c:v>
                </c:pt>
                <c:pt idx="5">
                  <c:v>38514.4106245959</c:v>
                </c:pt>
                <c:pt idx="6">
                  <c:v>41309.1229945173</c:v>
                </c:pt>
                <c:pt idx="7">
                  <c:v>43682.9188108024</c:v>
                </c:pt>
                <c:pt idx="8">
                  <c:v>46314.9139194565</c:v>
                </c:pt>
                <c:pt idx="9">
                  <c:v>48992.7460174017</c:v>
                </c:pt>
                <c:pt idx="10">
                  <c:v>51883.6060361554</c:v>
                </c:pt>
                <c:pt idx="11" c:formatCode="General">
                  <c:v>54311.7587986474</c:v>
                </c:pt>
              </c:numCache>
            </c:numRef>
          </c:val>
        </c:ser>
        <c:dLbls>
          <c:showLegendKey val="0"/>
          <c:showVal val="0"/>
          <c:showCatName val="0"/>
          <c:showSerName val="0"/>
          <c:showPercent val="0"/>
          <c:showBubbleSize val="0"/>
        </c:dLbls>
        <c:gapWidth val="25"/>
        <c:overlap val="100"/>
        <c:axId val="2101581920"/>
        <c:axId val="2101559456"/>
      </c:barChart>
      <c:catAx>
        <c:axId val="21015819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559456"/>
        <c:crosses val="autoZero"/>
        <c:auto val="1"/>
        <c:lblAlgn val="ctr"/>
        <c:lblOffset val="100"/>
        <c:noMultiLvlLbl val="0"/>
      </c:catAx>
      <c:valAx>
        <c:axId val="2101559456"/>
        <c:scaling>
          <c:orientation val="minMax"/>
        </c:scaling>
        <c:delete val="0"/>
        <c:axPos val="l"/>
        <c:majorGridlines>
          <c:spPr>
            <a:ln w="9525" cap="flat" cmpd="sng" algn="ctr">
              <a:noFill/>
              <a:round/>
            </a:ln>
            <a:effectLst/>
          </c:spPr>
        </c:majorGridlines>
        <c:numFmt formatCode="#,##0_);[Red]\(#,##0\)"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581920"/>
        <c:crosses val="autoZero"/>
        <c:crossBetween val="between"/>
      </c:valAx>
      <c:spPr>
        <a:noFill/>
        <a:ln>
          <a:noFill/>
        </a:ln>
        <a:effectLst/>
      </c:spPr>
    </c:plotArea>
    <c:legend>
      <c:legendPos val="b"/>
      <c:layout>
        <c:manualLayout>
          <c:xMode val="edge"/>
          <c:yMode val="edge"/>
          <c:x val="0.0161933585512974"/>
          <c:y val="0.891577780287242"/>
          <c:w val="0.983806641448703"/>
          <c:h val="0.0819876329018195"/>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'Global and Regions'!$B$61</c:f>
              <c:strCache>
                <c:ptCount val="1"/>
                <c:pt idx="0">
                  <c:v>北美</c:v>
                </c:pt>
              </c:strCache>
            </c:strRef>
          </c:tx>
          <c:spPr>
            <a:solidFill>
              <a:srgbClr val="002060"/>
            </a:solidFill>
            <a:ln>
              <a:noFill/>
            </a:ln>
            <a:effectLst/>
          </c:spPr>
          <c:invertIfNegative val="0"/>
          <c:dLbls>
            <c:delete val="1"/>
          </c:dLbls>
          <c:cat>
            <c:numRef>
              <c:f>'Global and Regions'!$D$60:$O$60</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'Global and Regions'!$D$61:$O$61</c:f>
              <c:numCache>
                <c:formatCode>#,##0.00_ </c:formatCode>
                <c:ptCount val="12"/>
                <c:pt idx="0">
                  <c:v>18732.65</c:v>
                </c:pt>
                <c:pt idx="1">
                  <c:v>18784.4</c:v>
                </c:pt>
                <c:pt idx="2">
                  <c:v>18356.72</c:v>
                </c:pt>
                <c:pt idx="3">
                  <c:v>20579.95</c:v>
                </c:pt>
                <c:pt idx="4">
                  <c:v>21845.86</c:v>
                </c:pt>
                <c:pt idx="5">
                  <c:v>22664.04</c:v>
                </c:pt>
                <c:pt idx="6">
                  <c:v>23643.82</c:v>
                </c:pt>
                <c:pt idx="7">
                  <c:v>24522.69</c:v>
                </c:pt>
                <c:pt idx="8">
                  <c:v>25471.56</c:v>
                </c:pt>
                <c:pt idx="9">
                  <c:v>26339.11</c:v>
                </c:pt>
                <c:pt idx="10">
                  <c:v>27267.55</c:v>
                </c:pt>
                <c:pt idx="11" c:formatCode="General">
                  <c:v>28543.67134</c:v>
                </c:pt>
              </c:numCache>
            </c:numRef>
          </c:val>
        </c:ser>
        <c:ser>
          <c:idx val="1"/>
          <c:order val="1"/>
          <c:tx>
            <c:strRef>
              <c:f>'Global and Regions'!$B$62</c:f>
              <c:strCache>
                <c:ptCount val="1"/>
                <c:pt idx="0">
                  <c:v>欧洲</c:v>
                </c:pt>
              </c:strCache>
            </c:strRef>
          </c:tx>
          <c:spPr>
            <a:solidFill>
              <a:schemeClr val="bg1">
                <a:lumMod val="50000"/>
              </a:schemeClr>
            </a:solidFill>
            <a:ln>
              <a:noFill/>
            </a:ln>
            <a:effectLst/>
          </c:spPr>
          <c:invertIfNegative val="0"/>
          <c:dLbls>
            <c:delete val="1"/>
          </c:dLbls>
          <c:cat>
            <c:numRef>
              <c:f>'Global and Regions'!$D$60:$O$60</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'Global and Regions'!$D$62:$O$62</c:f>
              <c:numCache>
                <c:formatCode>#,##0.00_ </c:formatCode>
                <c:ptCount val="12"/>
                <c:pt idx="0">
                  <c:v>17376.92</c:v>
                </c:pt>
                <c:pt idx="1">
                  <c:v>17563.26</c:v>
                </c:pt>
                <c:pt idx="2">
                  <c:v>17029.94</c:v>
                </c:pt>
                <c:pt idx="3">
                  <c:v>19193.92</c:v>
                </c:pt>
                <c:pt idx="4">
                  <c:v>20005.46</c:v>
                </c:pt>
                <c:pt idx="5">
                  <c:v>20765.68</c:v>
                </c:pt>
                <c:pt idx="6">
                  <c:v>21687.2</c:v>
                </c:pt>
                <c:pt idx="7">
                  <c:v>22449.64</c:v>
                </c:pt>
                <c:pt idx="8">
                  <c:v>23279.56</c:v>
                </c:pt>
                <c:pt idx="9">
                  <c:v>23934.58</c:v>
                </c:pt>
                <c:pt idx="10">
                  <c:v>24787.1</c:v>
                </c:pt>
                <c:pt idx="11" c:formatCode="General">
                  <c:v>25947.13628</c:v>
                </c:pt>
              </c:numCache>
            </c:numRef>
          </c:val>
        </c:ser>
        <c:ser>
          <c:idx val="2"/>
          <c:order val="2"/>
          <c:tx>
            <c:strRef>
              <c:f>'Global and Regions'!$B$63</c:f>
              <c:strCache>
                <c:ptCount val="1"/>
                <c:pt idx="0">
                  <c:v>亚太</c:v>
                </c:pt>
              </c:strCache>
            </c:strRef>
          </c:tx>
          <c:spPr>
            <a:solidFill>
              <a:srgbClr val="0070C0"/>
            </a:solidFill>
            <a:ln>
              <a:noFill/>
            </a:ln>
            <a:effectLst/>
          </c:spPr>
          <c:invertIfNegative val="0"/>
          <c:dLbls>
            <c:delete val="1"/>
          </c:dLbls>
          <c:cat>
            <c:numRef>
              <c:f>'Global and Regions'!$D$60:$O$60</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'Global and Regions'!$D$63:$O$63</c:f>
              <c:numCache>
                <c:formatCode>#,##0.00_ </c:formatCode>
                <c:ptCount val="12"/>
                <c:pt idx="0">
                  <c:v>62617.65</c:v>
                </c:pt>
                <c:pt idx="1">
                  <c:v>64877.34</c:v>
                </c:pt>
                <c:pt idx="2">
                  <c:v>64669.47</c:v>
                </c:pt>
                <c:pt idx="3">
                  <c:v>75282.48</c:v>
                </c:pt>
                <c:pt idx="4">
                  <c:v>82568.76</c:v>
                </c:pt>
                <c:pt idx="5">
                  <c:v>87634.95</c:v>
                </c:pt>
                <c:pt idx="6">
                  <c:v>92669.26</c:v>
                </c:pt>
                <c:pt idx="7">
                  <c:v>97074.01</c:v>
                </c:pt>
                <c:pt idx="8">
                  <c:v>102600.62</c:v>
                </c:pt>
                <c:pt idx="9">
                  <c:v>107284.84</c:v>
                </c:pt>
                <c:pt idx="10">
                  <c:v>112981.05</c:v>
                </c:pt>
                <c:pt idx="11" c:formatCode="General">
                  <c:v>118268.56314</c:v>
                </c:pt>
              </c:numCache>
            </c:numRef>
          </c:val>
        </c:ser>
        <c:ser>
          <c:idx val="3"/>
          <c:order val="3"/>
          <c:tx>
            <c:strRef>
              <c:f>'Global and Regions'!$B$64</c:f>
              <c:strCache>
                <c:ptCount val="1"/>
                <c:pt idx="0">
                  <c:v>拉美</c:v>
                </c:pt>
              </c:strCache>
            </c:strRef>
          </c:tx>
          <c:spPr>
            <a:solidFill>
              <a:schemeClr val="accent4"/>
            </a:solidFill>
            <a:ln>
              <a:noFill/>
            </a:ln>
            <a:effectLst/>
          </c:spPr>
          <c:invertIfNegative val="0"/>
          <c:dLbls>
            <c:delete val="1"/>
          </c:dLbls>
          <c:cat>
            <c:numRef>
              <c:f>'Global and Regions'!$D$60:$O$60</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'Global and Regions'!$D$64:$O$64</c:f>
              <c:numCache>
                <c:formatCode>#,##0.00_ </c:formatCode>
                <c:ptCount val="12"/>
                <c:pt idx="0">
                  <c:v>5884.32</c:v>
                </c:pt>
                <c:pt idx="1">
                  <c:v>5961.1</c:v>
                </c:pt>
                <c:pt idx="2">
                  <c:v>5821.28</c:v>
                </c:pt>
                <c:pt idx="3">
                  <c:v>6651.55</c:v>
                </c:pt>
                <c:pt idx="4">
                  <c:v>7159.12</c:v>
                </c:pt>
                <c:pt idx="5">
                  <c:v>7521.36</c:v>
                </c:pt>
                <c:pt idx="6">
                  <c:v>8020.79</c:v>
                </c:pt>
                <c:pt idx="7">
                  <c:v>8484.03</c:v>
                </c:pt>
                <c:pt idx="8">
                  <c:v>9030.02</c:v>
                </c:pt>
                <c:pt idx="9">
                  <c:v>9611.72</c:v>
                </c:pt>
                <c:pt idx="10">
                  <c:v>10285.86</c:v>
                </c:pt>
                <c:pt idx="11" c:formatCode="General">
                  <c:v>10767.238248</c:v>
                </c:pt>
              </c:numCache>
            </c:numRef>
          </c:val>
        </c:ser>
        <c:ser>
          <c:idx val="4"/>
          <c:order val="4"/>
          <c:tx>
            <c:strRef>
              <c:f>'Global and Regions'!$B$65</c:f>
              <c:strCache>
                <c:ptCount val="1"/>
                <c:pt idx="0">
                  <c:v>中东和非洲</c:v>
                </c:pt>
              </c:strCache>
            </c:strRef>
          </c:tx>
          <c:spPr>
            <a:solidFill>
              <a:schemeClr val="accent5"/>
            </a:solidFill>
            <a:ln>
              <a:noFill/>
            </a:ln>
            <a:effectLst/>
          </c:spPr>
          <c:invertIfNegative val="0"/>
          <c:dLbls>
            <c:delete val="1"/>
          </c:dLbls>
          <c:cat>
            <c:numRef>
              <c:f>'Global and Regions'!$D$60:$O$60</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'Global and Regions'!$D$65:$O$65</c:f>
              <c:numCache>
                <c:formatCode>#,##0.00_ </c:formatCode>
                <c:ptCount val="12"/>
                <c:pt idx="0">
                  <c:v>6424.11</c:v>
                </c:pt>
                <c:pt idx="1">
                  <c:v>6481.19</c:v>
                </c:pt>
                <c:pt idx="2">
                  <c:v>6194.21</c:v>
                </c:pt>
                <c:pt idx="3">
                  <c:v>6866.18</c:v>
                </c:pt>
                <c:pt idx="4">
                  <c:v>7672.94</c:v>
                </c:pt>
                <c:pt idx="5">
                  <c:v>8113.81</c:v>
                </c:pt>
                <c:pt idx="6">
                  <c:v>8779.63</c:v>
                </c:pt>
                <c:pt idx="7">
                  <c:v>9445.62</c:v>
                </c:pt>
                <c:pt idx="8">
                  <c:v>10239.83</c:v>
                </c:pt>
                <c:pt idx="9">
                  <c:v>11143.47</c:v>
                </c:pt>
                <c:pt idx="10">
                  <c:v>12154.79</c:v>
                </c:pt>
                <c:pt idx="11" c:formatCode="General">
                  <c:v>12723.634172</c:v>
                </c:pt>
              </c:numCache>
            </c:numRef>
          </c:val>
        </c:ser>
        <c:dLbls>
          <c:showLegendKey val="0"/>
          <c:showVal val="0"/>
          <c:showCatName val="0"/>
          <c:showSerName val="0"/>
          <c:showPercent val="0"/>
          <c:showBubbleSize val="0"/>
        </c:dLbls>
        <c:gapWidth val="45"/>
        <c:overlap val="100"/>
        <c:axId val="1897692240"/>
        <c:axId val="1897707216"/>
      </c:barChart>
      <c:catAx>
        <c:axId val="18976922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707216"/>
        <c:crosses val="autoZero"/>
        <c:auto val="1"/>
        <c:lblAlgn val="ctr"/>
        <c:lblOffset val="100"/>
        <c:noMultiLvlLbl val="0"/>
      </c:catAx>
      <c:valAx>
        <c:axId val="1897707216"/>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69224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Book Antiqua" panose="02040602050305030304" pitchFamily="1" charset="0"/>
                <a:ea typeface="+mn-ea"/>
                <a:cs typeface="+mn-cs"/>
              </a:defRPr>
            </a:pPr>
            <a:r>
              <a:rPr lang="en-US" altLang="zh-CN" sz="1200">
                <a:latin typeface="Book Antiqua" panose="02040602050305030304" pitchFamily="1" charset="0"/>
              </a:rPr>
              <a:t>Market Size By Region, 2018 Vs 2022 VS 2029</a:t>
            </a:r>
            <a:endParaRPr lang="zh-CN" altLang="en-US" sz="1200">
              <a:latin typeface="Book Antiqua" panose="02040602050305030304" pitchFamily="1" charset="0"/>
            </a:endParaRPr>
          </a:p>
        </c:rich>
      </c:tx>
      <c:layout/>
      <c:overlay val="0"/>
      <c:spPr>
        <a:noFill/>
        <a:ln>
          <a:noFill/>
        </a:ln>
        <a:effectLst/>
      </c:spPr>
    </c:title>
    <c:autoTitleDeleted val="0"/>
    <c:plotArea>
      <c:layout/>
      <c:barChart>
        <c:barDir val="col"/>
        <c:grouping val="clustered"/>
        <c:varyColors val="0"/>
        <c:ser>
          <c:idx val="0"/>
          <c:order val="0"/>
          <c:tx>
            <c:strRef>
              <c:f>'Global and Regions'!$D$60</c:f>
              <c:strCache>
                <c:ptCount val="1"/>
                <c:pt idx="0">
                  <c:v>2018</c:v>
                </c:pt>
              </c:strCache>
            </c:strRef>
          </c:tx>
          <c:spPr>
            <a:solidFill>
              <a:srgbClr val="FFC000"/>
            </a:solidFill>
            <a:ln>
              <a:noFill/>
            </a:ln>
            <a:effectLst/>
          </c:spPr>
          <c:invertIfNegative val="0"/>
          <c:dLbls>
            <c:delete val="1"/>
          </c:dLbls>
          <c:cat>
            <c:strRef>
              <c:f>'Global and Regions'!$B$61:$B$65</c:f>
              <c:strCache>
                <c:ptCount val="5"/>
                <c:pt idx="0">
                  <c:v>北美</c:v>
                </c:pt>
                <c:pt idx="1">
                  <c:v>欧洲</c:v>
                </c:pt>
                <c:pt idx="2">
                  <c:v>亚太</c:v>
                </c:pt>
                <c:pt idx="3">
                  <c:v>拉美</c:v>
                </c:pt>
                <c:pt idx="4">
                  <c:v>中东和非洲</c:v>
                </c:pt>
              </c:strCache>
            </c:strRef>
          </c:cat>
          <c:val>
            <c:numRef>
              <c:f>'Global and Regions'!$D$61:$D$65</c:f>
              <c:numCache>
                <c:formatCode>#,##0.00_ </c:formatCode>
                <c:ptCount val="5"/>
                <c:pt idx="0">
                  <c:v>18732.65</c:v>
                </c:pt>
                <c:pt idx="1">
                  <c:v>17376.92</c:v>
                </c:pt>
                <c:pt idx="2">
                  <c:v>62617.65</c:v>
                </c:pt>
                <c:pt idx="3">
                  <c:v>5884.32</c:v>
                </c:pt>
                <c:pt idx="4">
                  <c:v>6424.11</c:v>
                </c:pt>
              </c:numCache>
            </c:numRef>
          </c:val>
        </c:ser>
        <c:ser>
          <c:idx val="1"/>
          <c:order val="1"/>
          <c:tx>
            <c:strRef>
              <c:f>'Global and Regions'!$H$60</c:f>
              <c:strCache>
                <c:ptCount val="1"/>
                <c:pt idx="0">
                  <c:v>2022</c:v>
                </c:pt>
              </c:strCache>
            </c:strRef>
          </c:tx>
          <c:spPr>
            <a:solidFill>
              <a:schemeClr val="bg1">
                <a:lumMod val="50000"/>
              </a:schemeClr>
            </a:solidFill>
            <a:ln>
              <a:noFill/>
            </a:ln>
            <a:effectLst/>
          </c:spPr>
          <c:invertIfNegative val="0"/>
          <c:dLbls>
            <c:delete val="1"/>
          </c:dLbls>
          <c:cat>
            <c:strRef>
              <c:f>'Global and Regions'!$B$61:$B$65</c:f>
              <c:strCache>
                <c:ptCount val="5"/>
                <c:pt idx="0">
                  <c:v>北美</c:v>
                </c:pt>
                <c:pt idx="1">
                  <c:v>欧洲</c:v>
                </c:pt>
                <c:pt idx="2">
                  <c:v>亚太</c:v>
                </c:pt>
                <c:pt idx="3">
                  <c:v>拉美</c:v>
                </c:pt>
                <c:pt idx="4">
                  <c:v>中东和非洲</c:v>
                </c:pt>
              </c:strCache>
            </c:strRef>
          </c:cat>
          <c:val>
            <c:numRef>
              <c:f>'Global and Regions'!$H$61:$H$65</c:f>
              <c:numCache>
                <c:formatCode>#,##0.00_ </c:formatCode>
                <c:ptCount val="5"/>
                <c:pt idx="0">
                  <c:v>21845.86</c:v>
                </c:pt>
                <c:pt idx="1">
                  <c:v>20005.46</c:v>
                </c:pt>
                <c:pt idx="2">
                  <c:v>82568.76</c:v>
                </c:pt>
                <c:pt idx="3">
                  <c:v>7159.12</c:v>
                </c:pt>
                <c:pt idx="4">
                  <c:v>7672.94</c:v>
                </c:pt>
              </c:numCache>
            </c:numRef>
          </c:val>
        </c:ser>
        <c:ser>
          <c:idx val="2"/>
          <c:order val="2"/>
          <c:tx>
            <c:strRef>
              <c:f>'Global and Regions'!$O$60</c:f>
              <c:strCache>
                <c:ptCount val="1"/>
                <c:pt idx="0">
                  <c:v>2029</c:v>
                </c:pt>
              </c:strCache>
            </c:strRef>
          </c:tx>
          <c:spPr>
            <a:solidFill>
              <a:srgbClr val="002060"/>
            </a:solidFill>
            <a:ln>
              <a:noFill/>
            </a:ln>
            <a:effectLst/>
          </c:spPr>
          <c:invertIfNegative val="0"/>
          <c:dLbls>
            <c:delete val="1"/>
          </c:dLbls>
          <c:cat>
            <c:strRef>
              <c:f>'Global and Regions'!$B$61:$B$65</c:f>
              <c:strCache>
                <c:ptCount val="5"/>
                <c:pt idx="0">
                  <c:v>北美</c:v>
                </c:pt>
                <c:pt idx="1">
                  <c:v>欧洲</c:v>
                </c:pt>
                <c:pt idx="2">
                  <c:v>亚太</c:v>
                </c:pt>
                <c:pt idx="3">
                  <c:v>拉美</c:v>
                </c:pt>
                <c:pt idx="4">
                  <c:v>中东和非洲</c:v>
                </c:pt>
              </c:strCache>
            </c:strRef>
          </c:cat>
          <c:val>
            <c:numRef>
              <c:f>'Global and Regions'!$O$61:$O$65</c:f>
              <c:numCache>
                <c:formatCode>General</c:formatCode>
                <c:ptCount val="5"/>
                <c:pt idx="0">
                  <c:v>28543.67134</c:v>
                </c:pt>
                <c:pt idx="1">
                  <c:v>25947.13628</c:v>
                </c:pt>
                <c:pt idx="2">
                  <c:v>118268.56314</c:v>
                </c:pt>
                <c:pt idx="3">
                  <c:v>10767.238248</c:v>
                </c:pt>
                <c:pt idx="4">
                  <c:v>12723.634172</c:v>
                </c:pt>
              </c:numCache>
            </c:numRef>
          </c:val>
        </c:ser>
        <c:dLbls>
          <c:showLegendKey val="0"/>
          <c:showVal val="0"/>
          <c:showCatName val="0"/>
          <c:showSerName val="0"/>
          <c:showPercent val="0"/>
          <c:showBubbleSize val="0"/>
        </c:dLbls>
        <c:gapWidth val="75"/>
        <c:axId val="25844928"/>
        <c:axId val="1875643855"/>
      </c:barChart>
      <c:catAx>
        <c:axId val="258449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875643855"/>
        <c:crosses val="autoZero"/>
        <c:auto val="1"/>
        <c:lblAlgn val="ctr"/>
        <c:lblOffset val="100"/>
        <c:noMultiLvlLbl val="0"/>
      </c:catAx>
      <c:valAx>
        <c:axId val="1875643855"/>
        <c:scaling>
          <c:orientation val="minMax"/>
        </c:scaling>
        <c:delete val="0"/>
        <c:axPos val="l"/>
        <c:majorGridlines>
          <c:spPr>
            <a:ln w="9525" cap="flat" cmpd="sng" algn="ctr">
              <a:noFill/>
              <a:round/>
            </a:ln>
            <a:effectLst/>
          </c:spPr>
        </c:majorGridlines>
        <c:numFmt formatCode="#,##0.0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25844928"/>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0.54061</cdr:x>
      <cdr:y>0.21015</cdr:y>
    </cdr:from>
    <cdr:to>
      <cdr:x>0.777</cdr:x>
      <cdr:y>0.38563</cdr:y>
    </cdr:to>
    <cdr:grpSp>
      <cdr:nvGrpSpPr>
        <cdr:cNvPr id="2" name="组合 1"/>
        <cdr:cNvGrpSpPr/>
      </cdr:nvGrpSpPr>
      <cdr:grpSpPr xmlns:a="http://schemas.openxmlformats.org/drawingml/2006/main">
        <a:xfrm rot="439955">
          <a:off x="3345679" y="614115"/>
          <a:ext cx="1462949" cy="512800"/>
          <a:chOff x="2637044" y="971900"/>
          <a:chExt cx="1049114" cy="598763"/>
        </a:xfrm>
      </cdr:grpSpPr>
      <cdr:cxnSp>
        <cdr:nvCxnSpPr>
          <cdr:cNvPr id="3" name="直接箭头连接符 2"/>
          <cdr:cNvCxnSpPr/>
        </cdr:nvCxnSpPr>
        <cdr:spPr xmlns:a="http://schemas.openxmlformats.org/drawingml/2006/main">
          <a:xfrm xmlns:a="http://schemas.openxmlformats.org/drawingml/2006/main" rot="21160045" flipV="1">
            <a:off x="2637044" y="971900"/>
            <a:ext cx="1049114" cy="598763"/>
          </a:xfrm>
          <a:prstGeom xmlns:a="http://schemas.openxmlformats.org/drawingml/2006/main" prst="straightConnector1">
            <a:avLst/>
          </a:prstGeom>
          <a:ln w="15875">
            <a:solidFill>
              <a:srgbClr val="6826C8"/>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4" name="椭圆 3"/>
          <cdr:cNvSpPr/>
        </cdr:nvSpPr>
        <cdr:spPr xmlns:a="http://schemas.openxmlformats.org/drawingml/2006/main">
          <a:xfrm xmlns:a="http://schemas.openxmlformats.org/drawingml/2006/main" rot="20122497">
            <a:off x="2871548" y="1136024"/>
            <a:ext cx="568770" cy="262720"/>
          </a:xfrm>
          <a:prstGeom xmlns:a="http://schemas.openxmlformats.org/drawingml/2006/main" prst="ellipse">
            <a:avLst/>
          </a:prstGeom>
          <a:solidFill>
            <a:srgbClr val="FF0000"/>
          </a:solidFill>
          <a:ln w="12700">
            <a:solidFill>
              <a:srgbClr val="FF0000"/>
            </a:solid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baseline="0">
                <a:latin typeface="Book Antiqua" panose="02040602050305030304" pitchFamily="1" charset="0"/>
                <a:ea typeface="宋体" panose="02010600030101010101" charset="-122"/>
              </a:rPr>
              <a:t>4.9%</a:t>
            </a:r>
            <a:endParaRPr lang="zh-CN" baseline="0">
              <a:latin typeface="Book Antiqua" panose="02040602050305030304" pitchFamily="1" charset="0"/>
              <a:ea typeface="宋体" panose="02010600030101010101" charset="-122"/>
            </a:endParaRPr>
          </a:p>
        </cdr:txBody>
      </cdr:sp>
    </cdr:grpSp>
  </cdr:relSizeAnchor>
  <cdr:relSizeAnchor xmlns:cdr="http://schemas.openxmlformats.org/drawingml/2006/chartDrawing">
    <cdr:from>
      <cdr:x>0.24295</cdr:x>
      <cdr:y>0.37955</cdr:y>
    </cdr:from>
    <cdr:to>
      <cdr:x>0.48192</cdr:x>
      <cdr:y>0.47941</cdr:y>
    </cdr:to>
    <cdr:grpSp>
      <cdr:nvGrpSpPr>
        <cdr:cNvPr id="5" name="组合 4"/>
        <cdr:cNvGrpSpPr/>
      </cdr:nvGrpSpPr>
      <cdr:grpSpPr xmlns:a="http://schemas.openxmlformats.org/drawingml/2006/main">
        <a:xfrm rot="1783323">
          <a:off x="1503547" y="1109148"/>
          <a:ext cx="1478916" cy="291818"/>
          <a:chOff x="2829716" y="1154151"/>
          <a:chExt cx="1170371" cy="295200"/>
        </a:xfrm>
      </cdr:grpSpPr>
      <cdr:cxnSp>
        <cdr:nvCxnSpPr>
          <cdr:cNvPr id="6" name="直接箭头连接符 5"/>
          <cdr:cNvCxnSpPr/>
        </cdr:nvCxnSpPr>
        <cdr:spPr xmlns:a="http://schemas.openxmlformats.org/drawingml/2006/main">
          <a:xfrm xmlns:a="http://schemas.openxmlformats.org/drawingml/2006/main" rot="19816677" flipV="1">
            <a:off x="2829716" y="1154151"/>
            <a:ext cx="1170371" cy="233258"/>
          </a:xfrm>
          <a:prstGeom xmlns:a="http://schemas.openxmlformats.org/drawingml/2006/main" prst="straightConnector1">
            <a:avLst/>
          </a:prstGeom>
          <a:ln w="15875">
            <a:solidFill>
              <a:srgbClr val="6826C8"/>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7" name="椭圆 6"/>
          <cdr:cNvSpPr/>
        </cdr:nvSpPr>
        <cdr:spPr xmlns:a="http://schemas.openxmlformats.org/drawingml/2006/main">
          <a:xfrm xmlns:a="http://schemas.openxmlformats.org/drawingml/2006/main" rot="19393375">
            <a:off x="3004451" y="1210118"/>
            <a:ext cx="625698" cy="239233"/>
          </a:xfrm>
          <a:prstGeom xmlns:a="http://schemas.openxmlformats.org/drawingml/2006/main" prst="ellipse">
            <a:avLst/>
          </a:prstGeom>
          <a:solidFill>
            <a:srgbClr val="FF0000"/>
          </a:solid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a:t>5.8%</a:t>
            </a:r>
            <a:endParaRPr lang="zh-CN"/>
          </a:p>
        </cdr:txBody>
      </cdr:sp>
    </cdr:grp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6"/>
    <customShpInfo spid="_x0000_s2055"/>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3613639-9E47-4A44-8BCE-5277884D3A1B}">
  <ds:schemaRefs/>
</ds:datastoreItem>
</file>

<file path=docProps/app.xml><?xml version="1.0" encoding="utf-8"?>
<Properties xmlns="http://schemas.openxmlformats.org/officeDocument/2006/extended-properties" xmlns:vt="http://schemas.openxmlformats.org/officeDocument/2006/docPropsVTypes">
  <Template>Normal</Template>
  <Pages>8</Pages>
  <Words>372</Words>
  <Characters>2127</Characters>
  <Lines>17</Lines>
  <Paragraphs>4</Paragraphs>
  <TotalTime>721</TotalTime>
  <ScaleCrop>false</ScaleCrop>
  <LinksUpToDate>false</LinksUpToDate>
  <CharactersWithSpaces>2495</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Administrator</cp:lastModifiedBy>
  <dcterms:modified xsi:type="dcterms:W3CDTF">2024-03-14T07:18:14Z</dcterms:modified>
  <cp:revision>775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1EF2EBCD34C6413EA529CEE1F6644E23_13</vt:lpwstr>
  </property>
</Properties>
</file>