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33E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Fonts w:hint="eastAsia" w:ascii="楷体" w:hAnsi="楷体" w:eastAsia="楷体" w:cs="楷体"/>
          <w:b/>
          <w:bCs/>
          <w:i w:val="0"/>
          <w:iCs w:val="0"/>
          <w:caps w:val="0"/>
          <w:spacing w:val="8"/>
          <w:sz w:val="44"/>
          <w:szCs w:val="44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spacing w:val="8"/>
          <w:sz w:val="44"/>
          <w:szCs w:val="44"/>
          <w:shd w:val="clear" w:fill="FFFFFF"/>
        </w:rPr>
        <w:t>Fc受体重组蛋白：抗体新药设计研发的“好搭子”</w:t>
      </w:r>
      <w:bookmarkStart w:id="0" w:name="_GoBack"/>
      <w:bookmarkEnd w:id="0"/>
    </w:p>
    <w:p w14:paraId="7B8EAB31">
      <w:pPr>
        <w:rPr>
          <w:rFonts w:hint="eastAsia" w:ascii="楷体" w:hAnsi="楷体" w:eastAsia="楷体" w:cs="楷体"/>
          <w:sz w:val="28"/>
          <w:szCs w:val="28"/>
        </w:rPr>
      </w:pPr>
    </w:p>
    <w:p w14:paraId="6EA1BAB5">
      <w:pPr>
        <w:rPr>
          <w:rFonts w:hint="eastAsia" w:ascii="楷体" w:hAnsi="楷体" w:eastAsia="楷体" w:cs="楷体"/>
          <w:sz w:val="28"/>
          <w:szCs w:val="28"/>
        </w:rPr>
      </w:pPr>
    </w:p>
    <w:p w14:paraId="56EA72D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Fc受体重组蛋白</w:t>
      </w:r>
      <w:r>
        <w:rPr>
          <w:rFonts w:hint="eastAsia" w:ascii="楷体" w:hAnsi="楷体" w:eastAsia="楷体" w:cs="楷体"/>
          <w:sz w:val="28"/>
          <w:szCs w:val="28"/>
        </w:rPr>
        <w:t>是基础科学研究中解析抗体-Fc受体相互作用、探索免疫调控机制、助力免疫新药研发的重要工具，能够解决天然Fc受体难提取、亚型混杂、活性不稳定的难题，应用场景广泛，如分子机制研究、抗体工程改造、疾病研究、检测技术开发等。Fc受体重组蛋白与抗体药研发环节高度衔接。</w:t>
      </w:r>
    </w:p>
    <w:p w14:paraId="0905C08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6B46B70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006453"/>
          <w:sz w:val="28"/>
          <w:szCs w:val="28"/>
        </w:rPr>
        <w:t>义翘神州</w:t>
      </w:r>
      <w:r>
        <w:rPr>
          <w:rFonts w:hint="eastAsia" w:ascii="楷体" w:hAnsi="楷体" w:eastAsia="楷体" w:cs="楷体"/>
          <w:sz w:val="28"/>
          <w:szCs w:val="28"/>
        </w:rPr>
        <w:t>深耕重组蛋白表达十八载，已成功开发FcγR、FcRn、FcαR、FcεR等“全家族”Fc受体蛋白及其突变体，均采用HEK293/CHO生产，具有纯度高、活性优、产品稳定等特性。适用于抗体筛选、CMC阶段活性检测、一致性评价、安全性验证等不同应用场景，全面支持单抗、ADC、双/多特异性抗体等多种抗体药物的研发。</w:t>
      </w:r>
    </w:p>
    <w:p w14:paraId="1A7D020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26E67DA8"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color w:val="auto"/>
          <w:sz w:val="28"/>
          <w:szCs w:val="28"/>
          <w:u w:val="none"/>
        </w:rPr>
        <w:drawing>
          <wp:inline distT="0" distB="0" distL="114300" distR="114300">
            <wp:extent cx="5266690" cy="2633345"/>
            <wp:effectExtent l="0" t="0" r="10160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3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09C1D0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6760104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一、基础应用：抗体-Fc受体作用的分子机制</w:t>
      </w:r>
    </w:p>
    <w:p w14:paraId="75BAD06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04EB765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这是Fc受体重组蛋白基础而核心的应用，为后续研究奠定理论基础，聚焦解析抗体与FcR结合的分子机制和调控因素。</w:t>
      </w:r>
    </w:p>
    <w:p w14:paraId="7C4F222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174F1B1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0C725D"/>
          <w:sz w:val="28"/>
          <w:szCs w:val="28"/>
        </w:rPr>
        <w:t>1. 分析结合亲和力与动力学</w:t>
      </w:r>
    </w:p>
    <w:p w14:paraId="2F4C86F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0309F14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利用SPR、BLI、ELISA等技术，定量检测不同亚型抗体与FcR的结合常数，如Kd、Ka、Koff等，明确抗体亚型的FcR结合特异性。</w:t>
      </w:r>
    </w:p>
    <w:p w14:paraId="77E2C3F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323F82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35B8BFF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447F36A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30C2220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43"/>
        <w:gridCol w:w="1847"/>
        <w:gridCol w:w="1596"/>
        <w:gridCol w:w="1848"/>
        <w:gridCol w:w="1680"/>
      </w:tblGrid>
      <w:tr w14:paraId="2CC94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0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0C725D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7B44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</w:rPr>
              <w:t>受体亚型</w:t>
            </w:r>
          </w:p>
        </w:tc>
        <w:tc>
          <w:tcPr>
            <w:tcW w:w="110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0C725D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01AB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结构特征</w:t>
            </w:r>
          </w:p>
        </w:tc>
        <w:tc>
          <w:tcPr>
            <w:tcW w:w="95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0C725D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235C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亲和力</w:t>
            </w:r>
          </w:p>
        </w:tc>
        <w:tc>
          <w:tcPr>
            <w:tcW w:w="110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0C725D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B516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核心功能</w:t>
            </w:r>
          </w:p>
        </w:tc>
        <w:tc>
          <w:tcPr>
            <w:tcW w:w="100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0C725D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1419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表达细胞</w:t>
            </w:r>
          </w:p>
        </w:tc>
      </w:tr>
      <w:tr w14:paraId="006A6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092A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FcγRI（CD64）</w:t>
            </w:r>
          </w:p>
        </w:tc>
        <w:tc>
          <w:tcPr>
            <w:tcW w:w="11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74BC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3个胞外Ig样结构域，跨膜型</w:t>
            </w:r>
          </w:p>
        </w:tc>
        <w:tc>
          <w:tcPr>
            <w:tcW w:w="95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7A42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高亲和力（IgG1：6×10⁷）</w:t>
            </w:r>
          </w:p>
        </w:tc>
        <w:tc>
          <w:tcPr>
            <w:tcW w:w="11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437A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吞噬作用、ROS产生</w:t>
            </w:r>
          </w:p>
        </w:tc>
        <w:tc>
          <w:tcPr>
            <w:tcW w:w="10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00E5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单核细胞、巨噬细胞、中性粒细胞</w:t>
            </w:r>
          </w:p>
        </w:tc>
      </w:tr>
      <w:tr w14:paraId="06B08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E40C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FcγRIIa（CD32a）</w:t>
            </w:r>
          </w:p>
        </w:tc>
        <w:tc>
          <w:tcPr>
            <w:tcW w:w="11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859F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2个胞外Ig样结构域，含ITAM</w:t>
            </w:r>
          </w:p>
        </w:tc>
        <w:tc>
          <w:tcPr>
            <w:tcW w:w="95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59A3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低亲和力（IgG3：9×10⁵）</w:t>
            </w:r>
          </w:p>
        </w:tc>
        <w:tc>
          <w:tcPr>
            <w:tcW w:w="11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A291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吞噬作用、ADCC、炎症激活</w:t>
            </w:r>
          </w:p>
        </w:tc>
        <w:tc>
          <w:tcPr>
            <w:tcW w:w="10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3EFD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中性粒细胞、巨噬细胞、血小板</w:t>
            </w:r>
          </w:p>
        </w:tc>
      </w:tr>
      <w:tr w14:paraId="455EE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3874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FcγRIIb（CD32b）</w:t>
            </w:r>
          </w:p>
        </w:tc>
        <w:tc>
          <w:tcPr>
            <w:tcW w:w="11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140D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2个胞外Ig样结构域，含ITIM</w:t>
            </w:r>
          </w:p>
        </w:tc>
        <w:tc>
          <w:tcPr>
            <w:tcW w:w="95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61C2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低亲和力（IgG1：1×10⁵）</w:t>
            </w:r>
          </w:p>
        </w:tc>
        <w:tc>
          <w:tcPr>
            <w:tcW w:w="11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53A4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抑制免疫激活、诱导自身反应性B细胞凋亡</w:t>
            </w:r>
          </w:p>
        </w:tc>
        <w:tc>
          <w:tcPr>
            <w:tcW w:w="10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4D42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B细胞、单核细胞、中性粒细胞</w:t>
            </w:r>
          </w:p>
        </w:tc>
      </w:tr>
      <w:tr w14:paraId="69A31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EB1B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FcγRIIIa（CD16a）</w:t>
            </w:r>
          </w:p>
        </w:tc>
        <w:tc>
          <w:tcPr>
            <w:tcW w:w="11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9565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2个胞外Ig样结构域，跨膜型</w:t>
            </w:r>
          </w:p>
        </w:tc>
        <w:tc>
          <w:tcPr>
            <w:tcW w:w="95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F765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 w14:paraId="1DF1F8D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中高亲和力（IgG3：1×10⁷）</w:t>
            </w:r>
          </w:p>
        </w:tc>
        <w:tc>
          <w:tcPr>
            <w:tcW w:w="11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CE28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ADCC、肿瘤杀伤</w:t>
            </w:r>
          </w:p>
        </w:tc>
        <w:tc>
          <w:tcPr>
            <w:tcW w:w="10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D2F8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NK细胞、巨噬细胞、单核细胞</w:t>
            </w:r>
          </w:p>
        </w:tc>
      </w:tr>
      <w:tr w14:paraId="42E5F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B98C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FcγRIIIb（CD16b）</w:t>
            </w:r>
          </w:p>
        </w:tc>
        <w:tc>
          <w:tcPr>
            <w:tcW w:w="11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C15B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2个胞外Ig样结构域，GPI锚定</w:t>
            </w:r>
          </w:p>
        </w:tc>
        <w:tc>
          <w:tcPr>
            <w:tcW w:w="95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2E96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低亲和力（IgG3：1×10⁶）</w:t>
            </w:r>
          </w:p>
        </w:tc>
        <w:tc>
          <w:tcPr>
            <w:tcW w:w="11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669D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促进吞噬作用、诱导NETosis</w:t>
            </w:r>
          </w:p>
        </w:tc>
        <w:tc>
          <w:tcPr>
            <w:tcW w:w="1000" w:type="pct"/>
            <w:tcBorders>
              <w:top w:val="single" w:color="0C725D" w:sz="6" w:space="0"/>
              <w:left w:val="single" w:color="0C725D" w:sz="6" w:space="0"/>
              <w:bottom w:val="single" w:color="0C725D" w:sz="6" w:space="0"/>
              <w:right w:val="single" w:color="0C725D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3985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中性粒细胞</w:t>
            </w:r>
          </w:p>
        </w:tc>
      </w:tr>
    </w:tbl>
    <w:p w14:paraId="25E72CA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</w:p>
    <w:p w14:paraId="0D0F7BF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2. 解析关键调控因素的机制</w:t>
      </w:r>
    </w:p>
    <w:p w14:paraId="15C647D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05F8852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Fc受体的基因多态性显著影响抗体效果。FcγRIIIa（CD16a）的V158F对IgG1的亲和力更高，与利妥昔单抗治疗非霍奇金淋巴瘤的疗效增强相关。FcγRIIa（CD32a）的H131R多态性影响对IgG2的结合能力，可能影响抗血小板药物的反应。并且抗体Fc段的S239D、L234A等氨基酸突变、糖基化修饰会影响FcR的结合活性。</w:t>
      </w:r>
    </w:p>
    <w:p w14:paraId="20B5D28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3E8A764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制备人源、鼠源、食蟹猴源等不同物种的重组FcR蛋白，用于分析人源化抗体的结合特性，为抗体药物的临床前动物模型设计提供理论基础。</w:t>
      </w:r>
    </w:p>
    <w:p w14:paraId="7BBC03A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515E618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0C725D"/>
          <w:sz w:val="28"/>
          <w:szCs w:val="28"/>
        </w:rPr>
        <w:t>3. 研究疾病发生的分子机制</w:t>
      </w:r>
    </w:p>
    <w:p w14:paraId="335A609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0E9B090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重组FcR蛋白可用于自身免疫性疾病、肿瘤、感染等疾病的分子机制研究，为发现新的治疗靶点提供数据支持。类风湿关节炎、系统性红斑狼疮中，自身抗体通过结合巨噬细胞的FcγR激活炎症信号，释放TNF-α、IL-6等炎症因子。免疫性血小板减少症中，自身抗体通过FcγR介导血小板的吞噬清除，同时可筛选靶向FcR的抑制剂（小分子、抗体等），阻断异常的免疫活化。</w:t>
      </w:r>
    </w:p>
    <w:p w14:paraId="2913CB6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18AF656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0E3D81E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204B3521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6"/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应用转化：抗体工程化改造的筛选与功能验证</w:t>
      </w:r>
    </w:p>
    <w:p w14:paraId="556EF0C9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rPr>
          <w:rStyle w:val="6"/>
          <w:rFonts w:hint="eastAsia" w:ascii="楷体" w:hAnsi="楷体" w:eastAsia="楷体" w:cs="楷体"/>
          <w:sz w:val="28"/>
          <w:szCs w:val="28"/>
        </w:rPr>
      </w:pPr>
    </w:p>
    <w:p w14:paraId="6F8AE8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FcR重组蛋白为抗体Fc段工程化、人源化、双抗改造提供高通量筛选和功能验证工具，与抗体药物研发的核心环节高度契合。</w:t>
      </w:r>
      <w:r>
        <w:rPr>
          <w:rFonts w:hint="eastAsia" w:ascii="楷体" w:hAnsi="楷体" w:eastAsia="楷体" w:cs="楷体"/>
          <w:sz w:val="28"/>
          <w:szCs w:val="28"/>
        </w:rPr>
        <w:t>如在构建强化ADCC的S239D/I332E、抑制ADCC的L234A/L235A、延长FcRn半衰期等Fc段随机/定点突变文库时，以FcR重组蛋白为靶点，通过ELISA、SPR、流式等技术筛选高亲和力、高特异性结合的突变体。</w:t>
      </w:r>
    </w:p>
    <w:p w14:paraId="1C46789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4DB1607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筛选得到的突变体抗体需要利用FcR重组蛋白进行验证</w:t>
      </w:r>
      <w:r>
        <w:rPr>
          <w:rFonts w:hint="eastAsia" w:ascii="楷体" w:hAnsi="楷体" w:eastAsia="楷体" w:cs="楷体"/>
          <w:sz w:val="28"/>
          <w:szCs w:val="28"/>
        </w:rPr>
        <w:t>，比如确认LALA突变的抗体是否完全丧失与Fcγ受体的结合活性。BiTE通过Fc段改造消除ADCC，避免冗余细胞毒性，FcR重组蛋白可用于其优化设计，并对其功能进行精准检测。</w:t>
      </w:r>
    </w:p>
    <w:p w14:paraId="29BB8B1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784C5A0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带标签或荧光标记的FcR重组蛋白还可作为标准品或探针</w:t>
      </w:r>
      <w:r>
        <w:rPr>
          <w:rFonts w:hint="eastAsia" w:ascii="楷体" w:hAnsi="楷体" w:eastAsia="楷体" w:cs="楷体"/>
          <w:sz w:val="28"/>
          <w:szCs w:val="28"/>
        </w:rPr>
        <w:t>，结合活细胞成像技术，利用免疫组化、免疫荧光、流式细胞术等检测方法，定量分析FcR在不同免疫细胞中的表达水平和亚细胞定位，追踪FcR在细胞内的内化、分选过程，建立标准化、高通量的检测平台，解决天然试剂批次差异大、重复性差的问题，进一步完善抗体筛选和验证工作。</w:t>
      </w:r>
    </w:p>
    <w:p w14:paraId="5B0D1B4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66C8326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总之，Fc受体重组蛋白是连接抗体基础研究和转化的核心工具，从分子机制研究到细胞效应验证，再到抗体药物筛选、靶点发现，贯穿基础免疫学和抗体生物制药的全过程。重组蛋白可以体外模拟单抗、双抗、ADC等抗体药物的亲和力，为新药设计和研发提供关键数据支持。</w:t>
      </w:r>
    </w:p>
    <w:p w14:paraId="15DA545F">
      <w:pPr>
        <w:keepNext w:val="0"/>
        <w:keepLines w:val="0"/>
        <w:widowControl/>
        <w:suppressLineNumbers w:val="0"/>
        <w:jc w:val="left"/>
        <w:rPr>
          <w:rFonts w:hint="eastAsia" w:ascii="楷体" w:hAnsi="楷体" w:eastAsia="楷体" w:cs="楷体"/>
          <w:sz w:val="28"/>
          <w:szCs w:val="28"/>
        </w:rPr>
      </w:pPr>
    </w:p>
    <w:p w14:paraId="51EF356E">
      <w:pPr>
        <w:keepNext w:val="0"/>
        <w:keepLines w:val="0"/>
        <w:widowControl/>
        <w:suppressLineNumbers w:val="0"/>
        <w:jc w:val="left"/>
        <w:rPr>
          <w:rFonts w:hint="eastAsia" w:ascii="楷体" w:hAnsi="楷体" w:eastAsia="楷体" w:cs="楷体"/>
          <w:sz w:val="28"/>
          <w:szCs w:val="28"/>
        </w:rPr>
      </w:pPr>
    </w:p>
    <w:p w14:paraId="712477F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6"/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义翘神州Fc受体重组蛋白</w:t>
      </w:r>
    </w:p>
    <w:p w14:paraId="0ECFDDE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6"/>
          <w:rFonts w:hint="eastAsia" w:ascii="楷体" w:hAnsi="楷体" w:eastAsia="楷体" w:cs="楷体"/>
          <w:sz w:val="28"/>
          <w:szCs w:val="28"/>
        </w:rPr>
      </w:pPr>
    </w:p>
    <w:p w14:paraId="3324583E">
      <w:pPr>
        <w:keepNext w:val="0"/>
        <w:keepLines w:val="0"/>
        <w:widowControl/>
        <w:suppressLineNumbers w:val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006453"/>
          <w:sz w:val="28"/>
          <w:szCs w:val="28"/>
        </w:rPr>
        <w:t>义翘神州</w:t>
      </w:r>
      <w:r>
        <w:rPr>
          <w:rStyle w:val="6"/>
          <w:rFonts w:hint="eastAsia" w:ascii="楷体" w:hAnsi="楷体" w:eastAsia="楷体" w:cs="楷体"/>
          <w:sz w:val="28"/>
          <w:szCs w:val="28"/>
        </w:rPr>
        <w:t>深耕重组蛋白表达十八载，已成功开发FcγR、FcRn、FcαR、FcεR等“全家族”Fc受体蛋白及其突变体，均采用HEK293/CHO生产，具有纯度高、活性优、产品稳定等特性。</w:t>
      </w:r>
      <w:r>
        <w:rPr>
          <w:rFonts w:hint="eastAsia" w:ascii="楷体" w:hAnsi="楷体" w:eastAsia="楷体" w:cs="楷体"/>
          <w:sz w:val="28"/>
          <w:szCs w:val="28"/>
        </w:rPr>
        <w:t>适用于抗体筛选、CMC阶段活性检测、一致性评价、安全性验证等不同应用场景，全面支持单抗、ADC、双/多特异性抗体等多种抗体药物的研发。</w:t>
      </w:r>
    </w:p>
    <w:p w14:paraId="46A68D5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3C34CD40"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color w:val="auto"/>
          <w:sz w:val="28"/>
          <w:szCs w:val="28"/>
          <w:u w:val="none"/>
        </w:rPr>
        <w:drawing>
          <wp:inline distT="0" distB="0" distL="114300" distR="114300">
            <wp:extent cx="5266690" cy="2633345"/>
            <wp:effectExtent l="0" t="0" r="10160" b="14605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3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36BEF5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00FD111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5220211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免责声明：义翘神州内容团队仅是分享和解读公开的研究论文及其发现，专注于介绍全球生物医药研究新进展。本文仅作信息交流用，文中观点不代表义翘神州立场。随着对疾病机制研究的深入，新的实验结果或结论可能会修改或推翻文中的描述，还请大家理解。</w:t>
      </w:r>
    </w:p>
    <w:p w14:paraId="732BB2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6B0907F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本文不属于治疗方案推荐，如需获得治疗方案指导，请前往正规医院就诊。</w:t>
      </w:r>
    </w:p>
    <w:p w14:paraId="4B3F3FC9">
      <w:pPr>
        <w:rPr>
          <w:rFonts w:hint="eastAsia" w:ascii="楷体" w:hAnsi="楷体" w:eastAsia="楷体" w:cs="楷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C06846"/>
    <w:multiLevelType w:val="singleLevel"/>
    <w:tmpl w:val="09C0684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A8710A"/>
    <w:rsid w:val="5A35324A"/>
    <w:rsid w:val="76201FB0"/>
    <w:rsid w:val="7E414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1863</Words>
  <Characters>2181</Characters>
  <Lines>0</Lines>
  <Paragraphs>0</Paragraphs>
  <TotalTime>5</TotalTime>
  <ScaleCrop>false</ScaleCrop>
  <LinksUpToDate>false</LinksUpToDate>
  <CharactersWithSpaces>2184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2026-02-05T02:43:00Z</dcterms:created>
  <dc:creator>s</dc:creator>
  <cp:lastModifiedBy>忘了天空的颜色</cp:lastModifiedBy>
  <dcterms:modified xsi:type="dcterms:W3CDTF">2026-02-05T03:20:37Z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eyJoZGlkIjoiZTE1YTA5Y2Y5Y2I0NzU2ZDExMmM5ZWY5YTU1YWU0MjAiLCJ1c2VySWQiOiIzMDIxNDQ2NTUifQ==</vt:lpwstr>
  </property>
  <property fmtid="{D5CDD505-2E9C-101B-9397-08002B2CF9AE}" pid="4" name="ICV">
    <vt:lpwstr>922690F545844ECDB353CF2D75CC01F0_13</vt:lpwstr>
  </property>
</Properties>
</file>