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诊断用抗原抗体行业报告</w:t>
      </w:r>
      <w:r>
        <w:rPr>
          <w:rFonts w:hint="eastAsia"/>
          <w:lang w:eastAsia="zh-CN"/>
        </w:rPr>
        <w:t>：类型化学发光是最大的细分市场，占52.29%份额</w:t>
      </w:r>
    </w:p>
    <w:p w14:paraId="234F9CD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617D05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诊断用抗原抗体（Antigen and Antibody for Diagnostic）是体外诊断（IVD）试剂的核心原料，通过免疫技术、杂交瘤细胞技术或细胞发酵技术制备，用于心血管疾病、肿瘤、传染病等领域的检测与诊断。其应用场景涵盖酶联免疫法（ELISA）、化学发光法（CLIA）、胶体金法（GICA）等主流IVD技术平台，是精准医疗与疾病早筛的基石。</w:t>
      </w:r>
    </w:p>
    <w:p w14:paraId="00DB06E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技术特点：</w:t>
      </w:r>
    </w:p>
    <w:p w14:paraId="27BC6D7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化学发光法：占据52.29%市场份额，因其高灵敏度与自动化适配性，成为临床检测的主流技术。</w:t>
      </w:r>
    </w:p>
    <w:p w14:paraId="0AA2183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应用场景：甲状腺功能检测（24.03%）、肿瘤标志物检测（18.76%）、传染病筛查（15.21%）为核心应用领域。</w:t>
      </w:r>
    </w:p>
    <w:p w14:paraId="68EE2EB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9230" cy="1893570"/>
            <wp:effectExtent l="0" t="0" r="7620" b="11430"/>
            <wp:docPr id="1" name="图片 1" descr="诊断用抗原抗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诊断用抗原抗体"/>
                    <pic:cNvPicPr>
                      <a:picLocks noChangeAspect="1"/>
                    </pic:cNvPicPr>
                  </pic:nvPicPr>
                  <pic:blipFill>
                    <a:blip xmlns:r="http://schemas.openxmlformats.org/officeDocument/2006/relationships" r:embed="rId4"/>
                    <a:stretch>
                      <a:fillRect/>
                    </a:stretch>
                  </pic:blipFill>
                  <pic:spPr>
                    <a:xfrm>
                      <a:off x="0" y="0"/>
                      <a:ext cx="5269230" cy="1893570"/>
                    </a:xfrm>
                    <a:prstGeom prst="rect">
                      <a:avLst/>
                    </a:prstGeom>
                  </pic:spPr>
                </pic:pic>
              </a:graphicData>
            </a:graphic>
          </wp:inline>
        </w:drawing>
      </w:r>
    </w:p>
    <w:p w14:paraId="6509B57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二、全球供应链结构与上下游分析</w:t>
      </w:r>
    </w:p>
    <w:p w14:paraId="02D827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供应链结构</w:t>
      </w:r>
    </w:p>
    <w:p w14:paraId="55ED982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全球诊断用抗原抗体产业链呈现“寡头垄断+区域分散”特征，供应链稳定性受地缘政治与技术创新双重驱动。</w:t>
      </w:r>
    </w:p>
    <w:p w14:paraId="1689F44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上游：原材料（生物试剂、培养基）与设备（发酵罐、纯化系统）供应商集中度较高，价格波动影响中游成本。</w:t>
      </w:r>
    </w:p>
    <w:p w14:paraId="5A452E2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中游：核心厂商（如罗氏、菲鹏生物）掌握抗体筛选、表达与纯化核心技术，技术壁垒显著。</w:t>
      </w:r>
    </w:p>
    <w:p w14:paraId="5E7008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下游：IVD试剂盒制造商（如雅培、迈瑞医疗）与医疗机构为直接客户，需求受全球疾病负担与检测渗透率驱动。</w:t>
      </w:r>
    </w:p>
    <w:p w14:paraId="207112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上下游关系</w:t>
      </w:r>
    </w:p>
    <w:p w14:paraId="529BEBD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需求端：传染病检测需求受新冠疫情后公共卫生体系强化推动，预计2025-2030年复合增长率达10.3%；肿瘤早筛市场随老龄化加剧保持9.1%年增速。</w:t>
      </w:r>
    </w:p>
    <w:p w14:paraId="54BB34D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供给端：全球前五名厂商（罗氏、菲鹏生物、义翘神州、HyTest、Meridian）占据12.5%市场份额，行业集中度较低，中国厂商（菲鹏生物、义翘神州）通过性价比优势快速崛起。</w:t>
      </w:r>
    </w:p>
    <w:p w14:paraId="75419E9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三、主要生产商与竞争格局</w:t>
      </w:r>
    </w:p>
    <w:p w14:paraId="5BC845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企业名称国家/地区核心优势市场份额</w:t>
      </w:r>
    </w:p>
    <w:p w14:paraId="22D1DA3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罗氏（Roche）瑞士全产业链布局，化学发光技术垄断地位4.5%</w:t>
      </w:r>
    </w:p>
    <w:p w14:paraId="712FF0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菲鹏生物中国成本优势与本地化服务，覆盖新兴市场2.8%</w:t>
      </w:r>
    </w:p>
    <w:p w14:paraId="16BA632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义翘神州中国重组蛋白技术领先，肿瘤标志物抗体专家2.1%</w:t>
      </w:r>
    </w:p>
    <w:p w14:paraId="0E999D6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HyTest Ltd (Mindray)芬兰/中国心肌标志物抗体全球领导者，与迈瑞深度协同1.9%</w:t>
      </w:r>
    </w:p>
    <w:p w14:paraId="02DB02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Meridian Bioscience美国传染病检测原料龙头，新冠抗原快速响应1.2%</w:t>
      </w:r>
    </w:p>
    <w:p w14:paraId="4326C60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bookmarkStart w:id="0" w:name="_GoBack"/>
      <w:bookmarkEnd w:id="0"/>
      <w:r>
        <w:rPr>
          <w:rFonts w:hint="eastAsia"/>
        </w:rPr>
        <w:t>竞争格局：</w:t>
      </w:r>
    </w:p>
    <w:p w14:paraId="0D64A9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欧美厂商（罗氏、Meridian）主导高端市场，中国厂商（菲鹏生物、义翘神州）依托性价比与本地化服务在中低端市场快速渗透。</w:t>
      </w:r>
    </w:p>
    <w:p w14:paraId="0012521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新兴厂商（如金斯瑞生物科技、武汉爱博泰克）通过技术合作与差异化产品切入细分领域。</w:t>
      </w:r>
    </w:p>
    <w:p w14:paraId="034F7E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四、政策环境与市场挑战</w:t>
      </w:r>
    </w:p>
    <w:p w14:paraId="3955933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美国关税政策冲击</w:t>
      </w:r>
    </w:p>
    <w:p w14:paraId="3055B38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出口成本激增：中国诊断用抗原抗体对美出口关税提高至25%-30%，外销型企业利润率下降10%-15%。</w:t>
      </w:r>
    </w:p>
    <w:p w14:paraId="15A2D8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供应链重构压力：企业被迫在东南亚（马来西亚、泰国）、东欧（波兰、捷克）设立“区域制造中心”，初期投资成本增加20%-25%。</w:t>
      </w:r>
    </w:p>
    <w:p w14:paraId="582781E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市场准入受限：美国FDA对“中国制造”的原料药审查趋严，认证周期延长至18-24个月。</w:t>
      </w:r>
    </w:p>
    <w:p w14:paraId="77500AB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中国应对策略</w:t>
      </w:r>
    </w:p>
    <w:p w14:paraId="688FB6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市场多元化：加速开拓东南亚（印尼、越南）、中东（沙特、阿联酋）、拉美（巴西）等新兴市场，预计2025-2030年新兴市场复合增长率达12.8%。</w:t>
      </w:r>
    </w:p>
    <w:p w14:paraId="134471E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技术突围：加大研发投入，推动化学发光抗体国产化（目前国产化率不足30%），目标毛利率提升至45%以上。</w:t>
      </w:r>
    </w:p>
    <w:p w14:paraId="2F2A1A6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合规升级：建立国际认证体系（如CE-IVD、FDA 510(k)），降低贸易壁垒风险。</w:t>
      </w:r>
    </w:p>
    <w:p w14:paraId="19D10DD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五、市场现状与未来趋势分析</w:t>
      </w:r>
    </w:p>
    <w:p w14:paraId="5444E8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当前市场状况</w:t>
      </w:r>
    </w:p>
    <w:p w14:paraId="61DA09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规模与增速：</w:t>
      </w:r>
      <w:r>
        <w:t>根据</w:t>
      </w:r>
      <w:hyperlink r:id="rId5" w:history="1">
        <w:r>
          <w:rPr>
            <w:rFonts w:hint="eastAsia"/>
          </w:rPr>
          <w:t>QYResearch</w:t>
        </w:r>
      </w:hyperlink>
      <w:r>
        <w:rPr>
          <w:rFonts w:hint="eastAsia"/>
        </w:rPr>
        <w:t>最新调研报告显示，2024年全球市场规模70.78亿美元，预计2031年（乐观/保守）达124.5亿/98.3亿美元，2025-2031年CAGR为8.5%/5.3%。</w:t>
      </w:r>
    </w:p>
    <w:p w14:paraId="3F385C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区域分化：</w:t>
      </w:r>
    </w:p>
    <w:p w14:paraId="7AE42D6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成熟市场（欧美）：需求稳定，年均增长4%-5%，侧重技术升级与产品迭代。</w:t>
      </w:r>
    </w:p>
    <w:p w14:paraId="7F48AC9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新兴市场（亚太、中东）：受医疗基建投资驱动，年均增长11%-13%。</w:t>
      </w:r>
    </w:p>
    <w:p w14:paraId="23138C2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未来趋势预测</w:t>
      </w:r>
    </w:p>
    <w:p w14:paraId="3C736E5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技术驱动：单克隆抗体工程化改造（如双特异性抗体）、微流控芯片技术将提升检测灵敏度与通量。</w:t>
      </w:r>
    </w:p>
    <w:p w14:paraId="74AEDFD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区域协同：依托“一带一路”深化金砖国家产能合作，中国厂商有望在东欧、中东市场份额提升至8%-10%。</w:t>
      </w:r>
    </w:p>
    <w:p w14:paraId="0871C07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数字贸易：区块链技术用于原料溯源，降低合规成本；AI辅助抗体设计缩短研发周期。</w:t>
      </w:r>
    </w:p>
    <w:p w14:paraId="59AB162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六、行业前景与投资建议</w:t>
      </w:r>
    </w:p>
    <w:p w14:paraId="46A52C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行业前景</w:t>
      </w:r>
    </w:p>
    <w:p w14:paraId="78CB2EF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短期（2024-2026）：中国厂商通过“区域制造中心”规避关税，新兴市场贡献增量需求；化学发光抗体国产化率提升至35%-40%。</w:t>
      </w:r>
    </w:p>
    <w:p w14:paraId="6764B27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长期（2027-2031）：技术升级与品牌溢价推动行业利润率回升，全球CR10集中度有望从12.5%提升至20%。</w:t>
      </w:r>
    </w:p>
    <w:p w14:paraId="6461C95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投资建议</w:t>
      </w:r>
    </w:p>
    <w:p w14:paraId="48C0D91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关注技术领先企业：优先布局具备化学发光抗体自主生产能力的厂商（如菲鹏生物、HyTest）。</w:t>
      </w:r>
    </w:p>
    <w:p w14:paraId="1AA74B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布局新兴市场：投资东南亚、中东地区本地化生产项目，分享医疗基建红利。</w:t>
      </w:r>
    </w:p>
    <w:p w14:paraId="77FA379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风险对冲：配置多元化供应链资产，降低地缘政治风险敞口；关注传染病检测原料的周期性波动。</w:t>
      </w:r>
    </w:p>
    <w:p w14:paraId="08BCC1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结语：</w:t>
      </w:r>
    </w:p>
    <w:p w14:paraId="0384113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在全球贸易规则重构与技术变革的双重驱动下，诊断用抗原抗体行业正从“成本竞争”转向“技术-品牌双驱动”。中国厂商需以合规升级为基石，以区域协同为杠杆，方能在全球价值链中实现跃迁。</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2025年全球及中国诊断用抗原抗体企业出海开展业务规划及策略研究报告</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诊断用抗原抗体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E9C18AA"/>
    <w:rsid w:val="30F56177"/>
    <w:rsid w:val="3147093D"/>
    <w:rsid w:val="3C4B6CC9"/>
    <w:rsid w:val="4BE4107A"/>
    <w:rsid w:val="4DD06795"/>
    <w:rsid w:val="58310F7D"/>
    <w:rsid w:val="593567BC"/>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s/5636332/antigen-and-antibody-for-diagnostic"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1903</Words>
  <Characters>2242</Characters>
  <Application>Microsoft Office Word</Application>
  <DocSecurity>0</DocSecurity>
  <Lines>0</Lines>
  <Paragraphs>0</Paragraphs>
  <ScaleCrop>false</ScaleCrop>
  <Company/>
  <LinksUpToDate>false</LinksUpToDate>
  <CharactersWithSpaces>2258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2025-05-22T08:21:06Z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