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什么是需求导向的AI+数智应用技转服务平台，能帮助政府解决哪些问题？</w:t>
      </w:r>
    </w:p>
    <w:p>
      <w:pPr>
        <w:ind w:left="0" w:right="0" w:firstLine="0"/>
        <w:jc w:val="center"/>
      </w:pPr>
      <w:r>
        <w:t>观点作者：科易网AI+技术转移研究院</w:t>
      </w:r>
    </w:p>
    <w:p>
      <w:pPr>
        <w:ind w:firstLine="480"/>
      </w:pPr>
      <w:r>
        <w:t>在当前科技创新驱动发展的背景下，地方政府正面临如何高效推动科技成果转化、提升区域产业竞争力的现实挑战。尤其在新质生产力加速生成的进程中，科技成果转化链条长、信息不对称、供需匹配难等问题日益凸显，制约了区域创新体系的整体效能。面对这一现状，构建以需求为导向、融合AI与数智能力的技术转移服务平台，成为地方政府实现资源优化配置、促进技术要素流动、增强产业链韧性的重要抓手。</w:t>
      </w:r>
    </w:p>
    <w:p>
      <w:pPr>
        <w:ind w:firstLine="480"/>
      </w:pPr>
      <w:r>
        <w:t xml:space="preserve"> 一、科技成果转化的现实瓶颈与地方政府的关键任务</w:t>
      </w:r>
    </w:p>
    <w:p>
      <w:pPr>
        <w:ind w:firstLine="480"/>
      </w:pPr>
      <w:r>
        <w:t>科技成果转化是连接科研与经济的关键桥梁，但长期以来存在“成果多、转化少”的结构性矛盾。特别是在地方层面，高校院所科研成果丰富，但缺乏面向市场的精准筛选机制；企业虽有技术升级需求，却难以快速对接高质量技术资源；政府部门在引导和统筹过程中，常因信息滞后、手段传统而难以形成有效支撑。这些问题不仅影响了科技成果的实际落地效率，也削弱了区域创新生态的协同效应。</w:t>
      </w:r>
    </w:p>
    <w:p>
      <w:pPr>
        <w:ind w:firstLine="480"/>
      </w:pPr>
      <w:r>
        <w:t>地方政府作为科技成果转化的重要推动者，在其中承担着资源整合、机制搭建和服务供给的多重职责。然而，传统的技术转移模式依赖人工筛选和经验判断，缺乏系统性工具支持，导致供需对接效率低下，转化路径模糊，政策支持难以精准触达创新主体。因此，亟需通过数智化手段重构服务逻辑，打造一个面向需求、响应迅速、智能匹配的技术转移服务体系。</w:t>
      </w:r>
    </w:p>
    <w:p>
      <w:pPr>
        <w:ind w:firstLine="480"/>
      </w:pPr>
      <w:r>
        <w:t xml:space="preserve"> 二、需求导向的AI+数智平台：重构技术转移服务逻辑</w:t>
      </w:r>
    </w:p>
    <w:p>
      <w:pPr>
        <w:ind w:firstLine="480"/>
      </w:pPr>
      <w:r>
        <w:t>为破解上述难题，科易网提出“AI+技术转移”区域科技成果转化数智服务场景，围绕专利价值评估、企业需求挖掘、企业创新能力分析、知识产权综合服务四大核心模块，打造覆盖“技术发现—需求识别—能力匹配—转化落地”的全链条服务能力。平台基于AI算法与大数据分析，实现对技术成果与产业需求的双向智能匹配，为政府提供更加科学、精准、高效的决策支撑。</w:t>
      </w:r>
    </w:p>
    <w:p>
      <w:pPr>
        <w:ind w:firstLine="480"/>
      </w:pPr>
      <w:r>
        <w:t xml:space="preserve"> （一）以数据驱动专利价值评估，提升成果转化起点质量</w:t>
      </w:r>
    </w:p>
    <w:p>
      <w:pPr>
        <w:ind w:firstLine="480"/>
      </w:pPr>
      <w:r>
        <w:t>专利作为科技成果的核心载体，其价值高低直接影响转化成功率。平台通过构建符合国家标准的专利价值评估模型，从法律稳定性、技术创新性和市场应用潜力三个维度对专利进行量化分析，形成结构化评估报告。针对批量专利处理需求，平台还配备“专利快筛智能系统”，实现快速评分排序，为政府在项目遴选、政策扶持、资源倾斜等方面提供客观依据。</w:t>
      </w:r>
    </w:p>
    <w:p>
      <w:pPr>
        <w:ind w:firstLine="480"/>
      </w:pPr>
      <w:r>
        <w:t>该模块不仅可应用于高校院所的成果盘点，也可用于招商引资过程中的技术项目筛选，帮助政府在源头上锁定具有转化潜力的高价值专利资源，提升科技投入的产出效益。</w:t>
      </w:r>
    </w:p>
    <w:p>
      <w:pPr>
        <w:ind w:firstLine="480"/>
      </w:pPr>
      <w:r>
        <w:t xml:space="preserve"> （二）以智能识别企业真实需求，打通产学研对接“最后一公里”</w:t>
      </w:r>
    </w:p>
    <w:p>
      <w:pPr>
        <w:ind w:firstLine="480"/>
      </w:pPr>
      <w:r>
        <w:t>企业的真实技术需求往往隐藏在日常运营之中，传统方式难以准确捕捉。平台通过“企业需求分析系统”对企业公开数据、经营状况、研发投入等进行深度挖掘，识别潜在技术升级方向，并生成定制化需求建议清单。在此基础上，结合“解决路径分析”，为企业提供自主研发或外部合作的可行路径建议。</w:t>
      </w:r>
    </w:p>
    <w:p>
      <w:pPr>
        <w:ind w:firstLine="480"/>
      </w:pPr>
      <w:r>
        <w:t>对于政府而言，该功能有助于精准掌握区域内企业的技术痛点和发展瓶颈，为制定产业扶持政策、组织专题对接活动、引入外部科研资源提供有力支撑，真正实现“按需施策”。</w:t>
      </w:r>
    </w:p>
    <w:p>
      <w:pPr>
        <w:ind w:firstLine="480"/>
      </w:pPr>
      <w:r>
        <w:t xml:space="preserve"> （三）以动态画像评估企业创新能力，优化资源配置方向</w:t>
      </w:r>
    </w:p>
    <w:p>
      <w:pPr>
        <w:ind w:firstLine="480"/>
      </w:pPr>
      <w:r>
        <w:t>在推动成果转化过程中，政府不仅需要关注技术本身，更需关注承接主体的创新能力。平台通过“企业创新能力分析”模块，基于多维度指标对企业进行综合评估，形成动态更新的企业能力画像，辅助政府在项目推荐、资金扶持、平台共建等方面作出更为科学的判断。</w:t>
      </w:r>
    </w:p>
    <w:p>
      <w:pPr>
        <w:ind w:firstLine="480"/>
      </w:pPr>
      <w:r>
        <w:t>例如，在引进外部科技成果时，可通过平台对企业承接能力进行前置评估，避免出现“成果先进、企业接不住”的错配问题；在培育本地科技型企业时，也可通过平台持续追踪企业发展轨迹，识别出具备成长为科技领军企业的潜力主体。</w:t>
      </w:r>
    </w:p>
    <w:p>
      <w:pPr>
        <w:ind w:firstLine="480"/>
      </w:pPr>
      <w:r>
        <w:t xml:space="preserve"> （四）以知识产权服务枢纽为核心，打造技术转化闭环</w:t>
      </w:r>
    </w:p>
    <w:p>
      <w:pPr>
        <w:ind w:firstLine="480"/>
      </w:pPr>
      <w:r>
        <w:t>知识产权是科技成果转化的重要纽带。平台整合专利情报、价值评估、供需匹配、转化服务等功能，打造一体化知识产权服务平台，服务于政府知识产权管理中心、高校院所创孵中心等多元主体。平台还可根据政府需求，灵活部署为SAAS云服务或独立运行平台，满足不同层级的管理和服务需求。</w:t>
      </w:r>
    </w:p>
    <w:p>
      <w:pPr>
        <w:ind w:firstLine="480"/>
      </w:pPr>
      <w:r>
        <w:t xml:space="preserve"> 三、地方政府如何依托平台破解转化难题</w:t>
      </w:r>
    </w:p>
    <w:p>
      <w:pPr>
        <w:ind w:firstLine="480"/>
      </w:pPr>
      <w:r>
        <w:t>AI+数智平台的核心价值在于其“需求导向”和“智能响应”能力。地方政府可依托该平台，实现从“被动响应”向“主动服务”的转变：</w:t>
      </w:r>
    </w:p>
    <w:p>
      <w:pPr>
        <w:ind w:firstLine="480"/>
      </w:pPr>
      <w:r>
        <w:t>1. 精准掌握区域创新资源分布：通过平台数据图谱，政府可全面掌握区域内高校院所的专利储备、企业技术需求、产业技术热点等关键信息，为科技资源统筹和产业布局提供数据支撑。</w:t>
      </w:r>
    </w:p>
    <w:p>
      <w:pPr>
        <w:ind w:firstLine="480"/>
      </w:pPr>
      <w:r>
        <w:t>2. 提升科技项目筛选与匹配效率：平台通过智能算法实现成果与需求的双向匹配，大幅提升项目对接效率，缩短转化周期，降低行政成本。</w:t>
      </w:r>
    </w:p>
    <w:p>
      <w:pPr>
        <w:ind w:firstLine="480"/>
      </w:pPr>
      <w:r>
        <w:t>3. 强化政策支持的靶向性与实效性：通过平台分析企业需求和创新能力，政府可实现对创新主体的分类管理与差异化支持，使有限的财政资金发挥更大效用。</w:t>
      </w:r>
    </w:p>
    <w:p>
      <w:pPr>
        <w:ind w:firstLine="480"/>
      </w:pPr>
      <w:r>
        <w:t>4. 构建区域协同创新生态体系：平台作为技术要素流通的中枢节点，可串联高校、企业、园区、服务机构等多方主体，推动形成资源共享、优势互补的协同创新格局。</w:t>
      </w:r>
    </w:p>
    <w:p>
      <w:pPr>
        <w:ind w:firstLine="480"/>
      </w:pPr>
      <w:r>
        <w:t xml:space="preserve"> 四、结语</w:t>
      </w:r>
    </w:p>
    <w:p>
      <w:pPr>
        <w:ind w:firstLine="480"/>
      </w:pPr>
      <w:r>
        <w:t>随着新质生产力的加快生成，科技成果转化已成为地方政府推动产业升级、提升区域竞争力的关键抓手。构建以需求为导向的AI+数智应用技转服务平台，不仅是技术手段的升级，更是服务理念的转变。它以数据为驱动、以智能为核心，打通了科技成果从实验室到生产线的“最后一公里”，为地方政府破解转化难题、优化资源配置、构建创新生态提供了切实可行的技术路径。在这一进程中，地方政府不仅是平台的使用者，更是创新生态的塑造者和引领者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宋体" w:hAnsi="宋体" w:eastAsia="宋体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黑体" w:hAnsi="黑体" w:eastAsia="黑体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黑体" w:hAnsi="黑体" w:eastAsia="黑体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黑体" w:hAnsi="黑体" w:eastAsia="黑体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 w:ascii="黑体" w:hAnsi="黑体" w:eastAsia="黑体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 w:ascii="黑体" w:hAnsi="黑体" w:eastAsia="黑体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 w:ascii="黑体" w:hAnsi="黑体" w:eastAsia="黑体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 w:ascii="黑体" w:hAnsi="黑体" w:eastAsia="黑体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 w:ascii="黑体" w:hAnsi="黑体" w:eastAsia="黑体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 w:ascii="黑体" w:hAnsi="黑体" w:eastAsia="黑体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