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5B8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</w:pPr>
      <w:bookmarkStart w:id="0" w:name="_GoBack"/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  <w:t>生物安全实验室数据完整性管理实践，筑牢科学证据的基石</w:t>
      </w:r>
    </w:p>
    <w:bookmarkEnd w:id="0"/>
    <w:p w14:paraId="138E3330">
      <w:pPr>
        <w:rPr>
          <w:rFonts w:hint="eastAsia"/>
        </w:rPr>
      </w:pPr>
    </w:p>
    <w:p w14:paraId="0449F8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在生物医药的创新浪潮中，细胞作为研发与生产的起点，其质量直接决定项目的成败。作为独立于研发与生产之外的第三方检定实验室，我们身兼“服务者”与“守门人”的双重角色。</w:t>
      </w:r>
    </w:p>
    <w:p w14:paraId="70F70F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76F29E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0"/>
          <w:sz w:val="28"/>
          <w:szCs w:val="28"/>
          <w:bdr w:val="none" w:color="auto" w:sz="0" w:space="0"/>
        </w:rPr>
        <w:t>每一天，我们都在思考同一个核心问题：如何确保每一份报告中的数据，都能成为经得起任何审视、无懈可击的科学证据？</w:t>
      </w:r>
    </w:p>
    <w:p w14:paraId="307F89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143904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我们的答案并非简单复制GMP工厂的庞大体系，而是构建了一套更聚焦、更敏捷、更深植于技术细节的数据完整性生态系统。它流淌在我们每一次点击、每一次观察、每一次记录的日常之中。今天，我们向您坦诚呈现这份"守护哲学"的具体实践。</w:t>
      </w:r>
    </w:p>
    <w:p w14:paraId="562E99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54ACCD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kern w:val="0"/>
          <w:sz w:val="28"/>
          <w:szCs w:val="28"/>
          <w:bdr w:val="none" w:color="auto" w:sz="0" w:space="0"/>
          <w:lang w:val="en-US" w:eastAsia="zh-CN" w:bidi="ar"/>
        </w:rPr>
        <w:t>01</w:t>
      </w:r>
      <w:r>
        <w:rPr>
          <w:rStyle w:val="6"/>
          <w:rFonts w:hint="eastAsia" w:ascii="楷体" w:hAnsi="楷体" w:eastAsia="楷体" w:cs="楷体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基本原则：ALCOA+</w:t>
      </w:r>
    </w:p>
    <w:p w14:paraId="29D6F8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在先进仪器与经典记录方式并存的环境中，我们的最高准则是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“ALCOA+”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。这不仅是规范要求，更是我们思维方式的基石。</w:t>
      </w:r>
    </w:p>
    <w:p w14:paraId="0D979B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1. </w:t>
      </w: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可归属性（Attributable）：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任何数据都必须明确追溯到产生者</w:t>
      </w:r>
    </w:p>
    <w:p w14:paraId="4A7F24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2. </w:t>
      </w: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易读性（Legible）：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无论短期还是长期数据记录都清晰可读</w:t>
      </w:r>
    </w:p>
    <w:p w14:paraId="51845C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3. </w:t>
      </w: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同步性（Contemporaneous）：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记录必须在操作发生的同时生成</w:t>
      </w: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4. </w:t>
      </w: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原始性（Original）：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我们捍卫第一手数据的神圣性</w:t>
      </w:r>
    </w:p>
    <w:p w14:paraId="320365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5. </w:t>
      </w: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准确性（Accurate）：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记录必须真实反映操作与观察结果</w:t>
      </w:r>
    </w:p>
    <w:p w14:paraId="5C8483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ALCOA原则由美国食品药品监督管理局（FDA）在2007年提出。在此基础上，2010年欧盟GCP监察官工作组（EUGCP IWG）提出了ALCOA+原则。“+”表示所增加的四个原则，对应的缩写为CCEA。</w:t>
      </w:r>
    </w:p>
    <w:p w14:paraId="282B17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2160FA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6. 完整性（Complete）：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从样本接收到报告签发，数据链条完整无缺</w:t>
      </w:r>
    </w:p>
    <w:p w14:paraId="0F5DDC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7. 一致性（Consistent）：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数据记录不矛盾、无差异，逻辑清晰</w:t>
      </w:r>
    </w:p>
    <w:p w14:paraId="784E32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8. 持久性（Enduring）：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数据在规定时间内保留并可在需要时恢复</w:t>
      </w:r>
    </w:p>
    <w:p w14:paraId="63A204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9. 可获得性（Available）：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数据在生命周期内可随时检索、调阅</w:t>
      </w:r>
    </w:p>
    <w:p w14:paraId="62583B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ALCOA+原则不仅确保了数据的可靠和真实，满足监管机构（FDA、EMA、WHO）的要求，更通过以下细致入微的操作，成为了我们实验室的“肌肉记忆”。</w:t>
      </w:r>
    </w:p>
    <w:p w14:paraId="11F238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453A0F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02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  <w:lang w:val="en-US" w:eastAsia="zh-CN"/>
        </w:rPr>
        <w:t xml:space="preserve"> </w:t>
      </w:r>
      <w:r>
        <w:rPr>
          <w:rStyle w:val="6"/>
          <w:rFonts w:hint="eastAsia" w:ascii="楷体" w:hAnsi="楷体" w:eastAsia="楷体" w:cs="楷体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电子数据的溯源管理</w:t>
      </w:r>
    </w:p>
    <w:p w14:paraId="10B00D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电子原始数据是科学论断的“源代码”。尽管它们常以打印件形式呈现于报告中，但我们对“源代码”的保护近乎严苛。</w:t>
      </w:r>
    </w:p>
    <w:p w14:paraId="4597A2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7A43F6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1. 仪器端的刚性管控</w:t>
      </w:r>
    </w:p>
    <w:p w14:paraId="6D1F1C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✦身份唯一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：每一台关键设备（如qPCR仪、荧光显微成像系统）的登录账户都对应唯一员工，禁止使用共享账户，确保审计追踪中的每一个操作都能精准定位到人。</w:t>
      </w:r>
    </w:p>
    <w:p w14:paraId="1F38A7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✦审计追踪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永不眠的“电子眼”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：我们的主力仪器（如PCR仪软件）始终保持审计追踪功能全程开启。它默默记录下从程序创建、板位设置到后期任何基线或阈值调整的全过程。这份日志是数据真实性的“时间胶囊”，我们会定期审核，确保任何分析决策都有据可查。</w:t>
      </w:r>
    </w:p>
    <w:p w14:paraId="682787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✦时间统一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：实验室所有计算机和关键设备的时钟均通过内部网络时间协议同步。您在我们不同设备生成的图片或数据文件上看到的时间戳，背后是同一套精准跳动的“心跳”。</w:t>
      </w:r>
    </w:p>
    <w:p w14:paraId="430E6B5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5F52ED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2. 生成与存储的标准化路径</w:t>
      </w:r>
    </w:p>
    <w:p w14:paraId="1EA771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✦命名即规则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：严格执行SOP规定的电子数据命名规则，确保在归档库中能“一秒定位”。</w:t>
      </w:r>
    </w:p>
    <w:p w14:paraId="71547E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✦集中管控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：实验结束后，操作员必须将原始数据文件（如.qpcrd、.czi图像文件）立即上传至受控服务器的指定项目文件夹，禁止长期滞留于本地电脑。服务器实施定期自动备份与冗余存储。</w:t>
      </w:r>
    </w:p>
    <w:p w14:paraId="1ED99F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26874CEC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</w:pPr>
      <w:r>
        <w:rPr>
          <w:rStyle w:val="6"/>
          <w:rFonts w:hint="eastAsia" w:ascii="楷体" w:hAnsi="楷体" w:eastAsia="楷体" w:cs="楷体"/>
          <w:color w:val="374AAE"/>
          <w:sz w:val="28"/>
          <w:szCs w:val="28"/>
          <w:bdr w:val="none" w:color="auto" w:sz="0" w:space="0"/>
        </w:rPr>
        <w:t>从电子到纸质的“无缝转化”</w:t>
      </w:r>
    </w:p>
    <w:p w14:paraId="21017CC0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这是极易产生断点的环节，我们通过流程将其固化：</w:t>
      </w:r>
    </w:p>
    <w:p w14:paraId="7E2184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1CB086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212122"/>
          <w:sz w:val="28"/>
          <w:szCs w:val="28"/>
          <w:bdr w:val="none" w:color="auto" w:sz="0" w:space="0"/>
        </w:rPr>
        <w:t>➢打印是受控操作</w:t>
      </w:r>
      <w:r>
        <w:rPr>
          <w:rFonts w:hint="eastAsia" w:ascii="楷体" w:hAnsi="楷体" w:eastAsia="楷体" w:cs="楷体"/>
          <w:color w:val="212122"/>
          <w:sz w:val="28"/>
          <w:szCs w:val="28"/>
          <w:bdr w:val="none" w:color="auto" w:sz="0" w:space="0"/>
        </w:rPr>
        <w:t>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当需将必要的图谱打印并粘贴至纸质记录时，操作者必须在实验记录的相应位置，</w:t>
      </w:r>
      <w:r>
        <w:rPr>
          <w:rStyle w:val="6"/>
          <w:rFonts w:hint="eastAsia" w:ascii="楷体" w:hAnsi="楷体" w:eastAsia="楷体" w:cs="楷体"/>
          <w:sz w:val="28"/>
          <w:szCs w:val="28"/>
          <w:bdr w:val="none" w:color="auto" w:sz="0" w:space="0"/>
        </w:rPr>
        <w:t>手写注明该电子文件的完整存储路径和文件名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，并由本人及第二人（通常是项目负责人或检验员）共同核对打印输出与屏幕显示的一致性，随后双签确认。</w:t>
      </w:r>
    </w:p>
    <w:p w14:paraId="48B689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</w:p>
    <w:p w14:paraId="6A6FD0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212122"/>
          <w:sz w:val="28"/>
          <w:szCs w:val="28"/>
          <w:bdr w:val="none" w:color="auto" w:sz="0" w:space="0"/>
        </w:rPr>
        <w:t>➢归档实行双轨制</w:t>
      </w:r>
      <w:r>
        <w:rPr>
          <w:rFonts w:hint="eastAsia" w:ascii="楷体" w:hAnsi="楷体" w:eastAsia="楷体" w:cs="楷体"/>
          <w:color w:val="212122"/>
          <w:sz w:val="28"/>
          <w:szCs w:val="28"/>
          <w:bdr w:val="none" w:color="auto" w:sz="0" w:space="0"/>
        </w:rPr>
        <w:t>：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项目结束后，纸质记录本装订归档入档案室。同时，该项目文件夹的所有原始电子数据被整体打包，迁移至只读的长期归档服务器，生成唯一的、与纸质记录关联的归档编号。我们每年进行备份恢复演练，确保这些“数字资产”长期可读、可用。</w:t>
      </w:r>
    </w:p>
    <w:p w14:paraId="16F60B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18A592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04B9F00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kern w:val="0"/>
          <w:sz w:val="28"/>
          <w:szCs w:val="28"/>
          <w:bdr w:val="none" w:color="auto" w:sz="0" w:space="0"/>
          <w:lang w:val="en-US" w:eastAsia="zh-CN" w:bidi="ar"/>
        </w:rPr>
        <w:t>03</w:t>
      </w:r>
      <w:r>
        <w:rPr>
          <w:rStyle w:val="6"/>
          <w:rFonts w:hint="eastAsia" w:ascii="楷体" w:hAnsi="楷体" w:eastAsia="楷体" w:cs="楷体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纸质记录的“工匠精神”</w:t>
      </w:r>
    </w:p>
    <w:p w14:paraId="7FB8E0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</w:p>
    <w:p w14:paraId="10A4C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在数字时代，我们依然珍视纸质记录不可替代的“原始感”和“仪式感”，并赋予其现代化的管理精度。</w:t>
      </w:r>
    </w:p>
    <w:p w14:paraId="063859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受控的起点：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每一名实验员领用的都是预先编号、装订成册的实验记录本。每一页或每一册都有唯一页码，任何撕页行为都被严格禁止。</w:t>
      </w:r>
    </w:p>
    <w:p w14:paraId="0F2F3D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实时与规范：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我们要求“边做边记”，禁止事后誊抄。使用蓝色墨水书写，任何错误修改只能划线，旁注理由、签名与日期，保持原始记录清晰可辨。</w:t>
      </w:r>
    </w:p>
    <w:p w14:paraId="3ED63C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</w:pPr>
      <w:r>
        <w:rPr>
          <w:rStyle w:val="6"/>
          <w:rFonts w:hint="eastAsia" w:ascii="楷体" w:hAnsi="楷体" w:eastAsia="楷体" w:cs="楷体"/>
          <w:color w:val="374AAE"/>
          <w:spacing w:val="23"/>
          <w:sz w:val="28"/>
          <w:szCs w:val="28"/>
          <w:bdr w:val="none" w:color="auto" w:sz="0" w:space="0"/>
        </w:rPr>
        <w:t>粘贴的艺术：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打印的数据图必须使用骑缝签章或直接签名跨贴，防止替换。所有的计算过程都逐步呈现在记录本上，而不仅仅是一个最终结果。</w:t>
      </w:r>
    </w:p>
    <w:p w14:paraId="570DCF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</w:pPr>
    </w:p>
    <w:p w14:paraId="3D3F244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kern w:val="0"/>
          <w:sz w:val="28"/>
          <w:szCs w:val="28"/>
          <w:bdr w:val="none" w:color="auto" w:sz="0" w:space="0"/>
          <w:lang w:val="en-US" w:eastAsia="zh-CN" w:bidi="ar"/>
        </w:rPr>
        <w:t>04</w:t>
      </w:r>
      <w:r>
        <w:rPr>
          <w:rStyle w:val="6"/>
          <w:rFonts w:hint="eastAsia" w:ascii="楷体" w:hAnsi="楷体" w:eastAsia="楷体" w:cs="楷体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人与体系：流淌在血液中的质量文化</w:t>
      </w:r>
    </w:p>
    <w:p w14:paraId="4CF0FC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技术与管理之外，最强大的防火墙是人！</w:t>
      </w:r>
    </w:p>
    <w:p w14:paraId="0D1696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沉浸式培训与质量红线：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新员工入职的第一课便是数据完整性SOP学习。从接手第一个任务开始，就让员工清晰认识到数据完整的意义。</w:t>
      </w:r>
    </w:p>
    <w:p w14:paraId="546A4D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SOP的动态生命：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我们的《数据管理规程》、《良好记录规范》等SOP并非一成不变。每当引入新设备、新软件，或从审计中发现改进机会，SOP都会第一时间更新并重新培训。SOP是我们行动的共识，而非书架上的摆设。</w:t>
      </w:r>
    </w:p>
    <w:p w14:paraId="34654E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</w:pPr>
      <w:r>
        <w:rPr>
          <w:rStyle w:val="6"/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持续的自我审视：</w:t>
      </w:r>
      <w:r>
        <w:rPr>
          <w:rFonts w:hint="eastAsia" w:ascii="楷体" w:hAnsi="楷体" w:eastAsia="楷体" w:cs="楷体"/>
          <w:spacing w:val="23"/>
          <w:sz w:val="28"/>
          <w:szCs w:val="28"/>
          <w:bdr w:val="none" w:color="auto" w:sz="0" w:space="0"/>
        </w:rPr>
        <w:t>质量部门定期开展数据完整性专项内审，随机抽查项目，追溯从样本接收、实验记录、电子原始数据到最终报告的完整链条。同时，我们以开放的心态将这套实践完全展示给客户的审计团队，因为透明的过程是信任的最佳催化剂。</w:t>
      </w:r>
    </w:p>
    <w:p w14:paraId="7C5B28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bdr w:val="none" w:color="auto" w:sz="0" w:space="0"/>
          <w:lang w:val="en-US" w:eastAsia="zh-CN" w:bidi="ar"/>
        </w:rPr>
        <w:br w:type="textWrapping"/>
      </w:r>
      <w:r>
        <w:rPr>
          <w:rStyle w:val="6"/>
          <w:rFonts w:hint="eastAsia" w:ascii="楷体" w:hAnsi="楷体" w:eastAsia="楷体" w:cs="楷体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义翘神州实验室</w:t>
      </w:r>
    </w:p>
    <w:p w14:paraId="73BF82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both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208871"/>
          <w:spacing w:val="0"/>
          <w:sz w:val="28"/>
          <w:szCs w:val="28"/>
          <w:bdr w:val="none" w:color="auto" w:sz="0" w:space="0"/>
        </w:rPr>
        <w:t>义翘神州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作为您的合作伙伴，我们深知，您递送来的不仅仅是一份细胞样本，更是一段宝贵的研究时光、一份厚重的信任和一个充满希望的未来。</w:t>
      </w:r>
    </w:p>
    <w:p w14:paraId="034B4E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因此，我们交付的，也绝不仅仅是一纸带有合格结论的报告。我们交付的，是支撑这一结论的完整、坚实、可追溯的证据链。这套植根于严谨文化与细致流程的体系，是我们过往承诺的基石。</w:t>
      </w:r>
    </w:p>
    <w:p w14:paraId="1EB7FE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3" w:lineRule="atLeast"/>
        <w:ind w:left="0" w:right="0" w:firstLine="0"/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今天，我们正站在全新的起点上。为了让这份基石更加坚固、让数据流转更加智能高效，我们正在积极引入实验室信息管理系统（LIMS）与电子文档管理系统（DMS）。我们坚信：人的严谨是灵魂，可靠的技术是铠甲。正在部署的LIMS与DMS，将成为我们现有数据完整性策略的强大延伸与赋能，帮助我们以更高的效率、更强的追溯能力，来捍卫您每一份数据的真实与完整。</w:t>
      </w:r>
    </w:p>
    <w:p w14:paraId="40211E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楷体" w:hAnsi="楷体" w:eastAsia="楷体" w:cs="楷体"/>
          <w:color w:val="auto"/>
          <w:sz w:val="28"/>
          <w:szCs w:val="28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266690" cy="2633345"/>
            <wp:effectExtent l="0" t="0" r="10160" b="14605"/>
            <wp:docPr id="2" name="图片 2" descr="IMG_25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86F070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1E094D"/>
    <w:multiLevelType w:val="singleLevel"/>
    <w:tmpl w:val="7E1E094D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E1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hyperlink" Target="https://mp.weixin.qq.com/s?__biz=MzUyMjgyODU0NA==%26mid=2247536042%26idx=1%26sn=a9171efd1ca018abf8ba9bd9f3b2a9e9%26scene=21#wechat_redirect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2026-01-29T07:55:20Z</dcterms:created>
  <dc:creator>s</dc:creator>
  <cp:lastModifiedBy>忘了天空的颜色</cp:lastModifiedBy>
  <dcterms:modified xsi:type="dcterms:W3CDTF">2026-01-29T07:58:58Z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eyJoZGlkIjoiZTE1YTA5Y2Y5Y2I0NzU2ZDExMmM5ZWY5YTU1YWU0MjAiLCJ1c2VySWQiOiIzMDIxNDQ2NTUifQ==</vt:lpwstr>
  </property>
  <property fmtid="{D5CDD505-2E9C-101B-9397-08002B2CF9AE}" pid="4" name="ICV">
    <vt:lpwstr>D82A6D7E6D4B4B39881C3BFEA81738F0_13</vt:lpwstr>
  </property>
</Properties>
</file>