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2114A4">
      <w:pPr>
        <w:pStyle w:val="2"/>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b/>
          <w:sz w:val="24"/>
          <w:szCs w:val="24"/>
        </w:rPr>
        <w:t>【辰辉创聚生物】</w:t>
      </w:r>
      <w:bookmarkStart w:id="0" w:name="_GoBack"/>
      <w:bookmarkEnd w:id="0"/>
      <w:r>
        <w:rPr>
          <w:rStyle w:val="8"/>
          <w:rFonts w:hint="eastAsia" w:ascii="宋体" w:hAnsi="宋体" w:eastAsia="宋体" w:cs="宋体"/>
          <w:b/>
          <w:sz w:val="24"/>
          <w:szCs w:val="24"/>
        </w:rPr>
        <w:t>Human Tau441重组蛋白：结构特性与科研应用前沿</w:t>
      </w:r>
    </w:p>
    <w:p w14:paraId="5834B5B4">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引言</w:t>
      </w:r>
    </w:p>
    <w:p w14:paraId="305D28E7">
      <w:pPr>
        <w:pStyle w:val="5"/>
        <w:keepNext w:val="0"/>
        <w:keepLines w:val="0"/>
        <w:widowControl/>
        <w:suppressLineNumbers w:val="0"/>
        <w:ind w:firstLine="480" w:firstLineChars="200"/>
        <w:rPr>
          <w:rFonts w:hint="eastAsia" w:ascii="宋体" w:hAnsi="宋体" w:eastAsia="宋体" w:cs="宋体"/>
          <w:sz w:val="24"/>
          <w:szCs w:val="24"/>
        </w:rPr>
      </w:pPr>
      <w:r>
        <w:rPr>
          <w:rFonts w:hint="eastAsia" w:ascii="宋体" w:hAnsi="宋体" w:eastAsia="宋体" w:cs="宋体"/>
          <w:sz w:val="24"/>
          <w:szCs w:val="24"/>
        </w:rPr>
        <w:t>Tau蛋白（微管相关蛋白Tau，MAPT）是维持神经元胞内微管稳定性和动态平衡的关键蛋白。它在阿尔茨海默病（Alzheimer's disease, AD）、额颞叶痴呆（FTD）等神经退行性疾病中发生病理性异常聚集，形成神经原纤维缠结（NFTs），是tauopathy类疾病的主要标志之一。</w:t>
      </w:r>
    </w:p>
    <w:p w14:paraId="3D6D3E4D">
      <w:pPr>
        <w:pStyle w:val="5"/>
        <w:keepNext w:val="0"/>
        <w:keepLines w:val="0"/>
        <w:widowControl/>
        <w:suppressLineNumbers w:val="0"/>
        <w:ind w:firstLine="480" w:firstLineChars="200"/>
        <w:rPr>
          <w:rFonts w:hint="eastAsia" w:ascii="宋体" w:hAnsi="宋体" w:eastAsia="宋体" w:cs="宋体"/>
          <w:sz w:val="24"/>
          <w:szCs w:val="24"/>
        </w:rPr>
      </w:pPr>
      <w:r>
        <w:rPr>
          <w:rFonts w:hint="eastAsia" w:ascii="宋体" w:hAnsi="宋体" w:eastAsia="宋体" w:cs="宋体"/>
          <w:sz w:val="24"/>
          <w:szCs w:val="24"/>
        </w:rPr>
        <w:t>在人脑中，Tau存在六种剪接变体，</w:t>
      </w:r>
      <w:r>
        <w:rPr>
          <w:rStyle w:val="8"/>
          <w:rFonts w:hint="eastAsia" w:ascii="宋体" w:hAnsi="宋体" w:eastAsia="宋体" w:cs="宋体"/>
          <w:sz w:val="24"/>
          <w:szCs w:val="24"/>
        </w:rPr>
        <w:t>Tau441（2N4R Tau）是其中最长的亚型</w:t>
      </w:r>
      <w:r>
        <w:rPr>
          <w:rFonts w:hint="eastAsia" w:ascii="宋体" w:hAnsi="宋体" w:eastAsia="宋体" w:cs="宋体"/>
          <w:sz w:val="24"/>
          <w:szCs w:val="24"/>
        </w:rPr>
        <w:t>，包含441个氨基酸，具有两个N端插入片段和四个微管结合结构域。Tau441广泛用于神经病理机制研究、蛋白聚集模型构建、药物筛选平台建立等方向。</w:t>
      </w:r>
    </w:p>
    <w:p w14:paraId="4E52A023">
      <w:pPr>
        <w:pStyle w:val="5"/>
        <w:keepNext w:val="0"/>
        <w:keepLines w:val="0"/>
        <w:widowControl/>
        <w:suppressLineNumbers w:val="0"/>
        <w:ind w:firstLine="480" w:firstLineChars="200"/>
        <w:rPr>
          <w:rFonts w:hint="eastAsia" w:ascii="宋体" w:hAnsi="宋体" w:eastAsia="宋体" w:cs="宋体"/>
          <w:sz w:val="24"/>
          <w:szCs w:val="24"/>
        </w:rPr>
      </w:pPr>
      <w:r>
        <w:rPr>
          <w:rFonts w:hint="eastAsia" w:ascii="宋体" w:hAnsi="宋体" w:eastAsia="宋体" w:cs="宋体"/>
          <w:sz w:val="24"/>
          <w:szCs w:val="24"/>
        </w:rPr>
        <w:t>通过重组表达获得结构完整、功能稳定的Tau441蛋白，是科研工作者在神经退行性疾病领域进行基础与转化研究的重要技术手段。</w:t>
      </w:r>
    </w:p>
    <w:p w14:paraId="2930D191">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Tau441蛋白的结构与功能特性</w:t>
      </w:r>
    </w:p>
    <w:p w14:paraId="05DEC46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Tau441全长441个氨基酸，分子量约为45–46 kDa。其结构分为以下几个关键区域：</w:t>
      </w:r>
    </w:p>
    <w:p w14:paraId="1C4E6CEF">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N端投射区（1–150 aa）</w:t>
      </w:r>
      <w:r>
        <w:rPr>
          <w:rFonts w:hint="eastAsia" w:ascii="宋体" w:hAnsi="宋体" w:eastAsia="宋体" w:cs="宋体"/>
          <w:sz w:val="24"/>
          <w:szCs w:val="24"/>
        </w:rPr>
        <w:t>：包含N1和N2插入片段，参与调节Tau与其他蛋白或细胞骨架成分的互作。</w:t>
      </w:r>
    </w:p>
    <w:p w14:paraId="155E3476">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中段亲微管区（~200–370 aa）</w:t>
      </w:r>
      <w:r>
        <w:rPr>
          <w:rFonts w:hint="eastAsia" w:ascii="宋体" w:hAnsi="宋体" w:eastAsia="宋体" w:cs="宋体"/>
          <w:sz w:val="24"/>
          <w:szCs w:val="24"/>
        </w:rPr>
        <w:t>：包含四个微管结合重复序列（R1–R4），是Tau稳定微管的重要结构基础。</w:t>
      </w:r>
    </w:p>
    <w:p w14:paraId="57E2058A">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C端区域（370–441 aa）</w:t>
      </w:r>
      <w:r>
        <w:rPr>
          <w:rFonts w:hint="eastAsia" w:ascii="宋体" w:hAnsi="宋体" w:eastAsia="宋体" w:cs="宋体"/>
          <w:sz w:val="24"/>
          <w:szCs w:val="24"/>
        </w:rPr>
        <w:t>：在病理聚集过程中可能形成β折叠结构，参与神经原纤维的形成。</w:t>
      </w:r>
    </w:p>
    <w:p w14:paraId="2B0FDD1E">
      <w:pPr>
        <w:pStyle w:val="5"/>
        <w:keepNext w:val="0"/>
        <w:keepLines w:val="0"/>
        <w:widowControl/>
        <w:suppressLineNumbers w:val="0"/>
        <w:ind w:firstLine="480" w:firstLineChars="200"/>
        <w:rPr>
          <w:rFonts w:hint="eastAsia" w:ascii="宋体" w:hAnsi="宋体" w:eastAsia="宋体" w:cs="宋体"/>
          <w:sz w:val="24"/>
          <w:szCs w:val="24"/>
        </w:rPr>
      </w:pPr>
      <w:r>
        <w:rPr>
          <w:rFonts w:hint="eastAsia" w:ascii="宋体" w:hAnsi="宋体" w:eastAsia="宋体" w:cs="宋体"/>
          <w:sz w:val="24"/>
          <w:szCs w:val="24"/>
        </w:rPr>
        <w:t>Tau属于</w:t>
      </w:r>
      <w:r>
        <w:rPr>
          <w:rStyle w:val="8"/>
          <w:rFonts w:hint="eastAsia" w:ascii="宋体" w:hAnsi="宋体" w:eastAsia="宋体" w:cs="宋体"/>
          <w:sz w:val="24"/>
          <w:szCs w:val="24"/>
        </w:rPr>
        <w:t>天然无序蛋白（Intrinsically Disordered Protein, IDP）</w:t>
      </w:r>
      <w:r>
        <w:rPr>
          <w:rFonts w:hint="eastAsia" w:ascii="宋体" w:hAnsi="宋体" w:eastAsia="宋体" w:cs="宋体"/>
          <w:sz w:val="24"/>
          <w:szCs w:val="24"/>
        </w:rPr>
        <w:t>，其柔性结构使其易受环境因素（如磷酸化、氧化应激、诱导剂等）影响发生构象变化，从而导致寡聚体或纤维状聚集体的形成。</w:t>
      </w:r>
    </w:p>
    <w:p w14:paraId="31DA75F6">
      <w:pPr>
        <w:keepNext w:val="0"/>
        <w:keepLines w:val="0"/>
        <w:widowControl/>
        <w:suppressLineNumbers w:val="0"/>
        <w:rPr>
          <w:rFonts w:hint="eastAsia" w:ascii="宋体" w:hAnsi="宋体" w:eastAsia="宋体" w:cs="宋体"/>
          <w:sz w:val="24"/>
          <w:szCs w:val="24"/>
        </w:rPr>
      </w:pPr>
    </w:p>
    <w:p w14:paraId="74EE1EC4">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重组表达系统介绍</w:t>
      </w:r>
    </w:p>
    <w:p w14:paraId="34264A84">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Tau441的表达系统选择依据实验需求、产量目标及翻译后修饰需求，主要包括以下几种：</w:t>
      </w:r>
    </w:p>
    <w:p w14:paraId="41A0508C">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1. 原核表达系统（大肠杆菌）</w:t>
      </w:r>
    </w:p>
    <w:p w14:paraId="6CDC743A">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最常用的表达平台，代表菌株如</w:t>
      </w:r>
      <w:r>
        <w:rPr>
          <w:rStyle w:val="8"/>
          <w:rFonts w:hint="eastAsia" w:ascii="宋体" w:hAnsi="宋体" w:eastAsia="宋体" w:cs="宋体"/>
          <w:sz w:val="24"/>
          <w:szCs w:val="24"/>
        </w:rPr>
        <w:t>E. coli BL21(DE3)</w:t>
      </w:r>
      <w:r>
        <w:rPr>
          <w:rFonts w:hint="eastAsia" w:ascii="宋体" w:hAnsi="宋体" w:eastAsia="宋体" w:cs="宋体"/>
          <w:sz w:val="24"/>
          <w:szCs w:val="24"/>
        </w:rPr>
        <w:t>。其优势在于：</w:t>
      </w:r>
    </w:p>
    <w:p w14:paraId="7696826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表达效率高，适合大规模制备</w:t>
      </w:r>
    </w:p>
    <w:p w14:paraId="2A8298F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成本低，操作简便</w:t>
      </w:r>
    </w:p>
    <w:p w14:paraId="6A2FFA9A">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可用于构建聚集体、PFFs等聚集模型</w:t>
      </w:r>
    </w:p>
    <w:p w14:paraId="68CD019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但该系统不具备翻译后修饰功能，如Tau蛋白在疾病状态下常见的磷酸化或乙酰化。</w:t>
      </w:r>
    </w:p>
    <w:p w14:paraId="597D07D5">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2. 哺乳动物细胞系统（HEK293、CHO）</w:t>
      </w:r>
    </w:p>
    <w:p w14:paraId="3C3F23E9">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适用于需要</w:t>
      </w:r>
      <w:r>
        <w:rPr>
          <w:rStyle w:val="8"/>
          <w:rFonts w:hint="eastAsia" w:ascii="宋体" w:hAnsi="宋体" w:eastAsia="宋体" w:cs="宋体"/>
          <w:sz w:val="24"/>
          <w:szCs w:val="24"/>
        </w:rPr>
        <w:t>天然构象及磷酸化修饰</w:t>
      </w:r>
      <w:r>
        <w:rPr>
          <w:rFonts w:hint="eastAsia" w:ascii="宋体" w:hAnsi="宋体" w:eastAsia="宋体" w:cs="宋体"/>
          <w:sz w:val="24"/>
          <w:szCs w:val="24"/>
        </w:rPr>
        <w:t>的研究：</w:t>
      </w:r>
    </w:p>
    <w:p w14:paraId="17796D6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支持原位表达和组分间互作研究</w:t>
      </w:r>
    </w:p>
    <w:p w14:paraId="2AE19881">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可用于开发抗体、筛选激酶调控通路</w:t>
      </w:r>
    </w:p>
    <w:p w14:paraId="7BE921B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哺乳动物细胞表达的</w:t>
      </w:r>
      <w:r>
        <w:rPr>
          <w:rFonts w:hint="eastAsia" w:ascii="宋体" w:hAnsi="宋体" w:eastAsia="宋体" w:cs="宋体"/>
          <w:sz w:val="24"/>
          <w:szCs w:val="24"/>
        </w:rPr>
        <w:t>Tau441</w:t>
      </w:r>
      <w:r>
        <w:rPr>
          <w:rFonts w:hint="eastAsia" w:ascii="宋体" w:hAnsi="宋体" w:eastAsia="宋体" w:cs="宋体"/>
          <w:sz w:val="24"/>
          <w:szCs w:val="24"/>
          <w:lang w:val="en-US" w:eastAsia="zh-CN"/>
        </w:rPr>
        <w:t>重组蛋白</w:t>
      </w:r>
      <w:r>
        <w:rPr>
          <w:rFonts w:hint="eastAsia" w:ascii="宋体" w:hAnsi="宋体" w:eastAsia="宋体" w:cs="宋体"/>
          <w:sz w:val="24"/>
          <w:szCs w:val="24"/>
        </w:rPr>
        <w:t>适合高级别功能研究或临床前验证。</w:t>
      </w:r>
    </w:p>
    <w:p w14:paraId="5203AB8F">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3. 酵母/昆虫细胞系统（如Sf9）</w:t>
      </w:r>
    </w:p>
    <w:p w14:paraId="5D14CCEA">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提供较好的翻译后修饰支持，表达量高于哺乳动物系统，常作为折中选择。适用于特定修饰状态的Tau蛋白制备。</w:t>
      </w:r>
    </w:p>
    <w:p w14:paraId="449E31F2">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纯化流程介绍</w:t>
      </w:r>
    </w:p>
    <w:p w14:paraId="01EC6EDB">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根据表达系统不同，Tau441的纯化流程略有差异，但核心步骤包括以下几个方面：</w:t>
      </w:r>
    </w:p>
    <w:p w14:paraId="403DF51C">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1. 标签选择与初步纯化</w:t>
      </w:r>
    </w:p>
    <w:p w14:paraId="48BCCC83">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常用</w:t>
      </w:r>
      <w:r>
        <w:rPr>
          <w:rStyle w:val="8"/>
          <w:rFonts w:hint="eastAsia" w:ascii="宋体" w:hAnsi="宋体" w:eastAsia="宋体" w:cs="宋体"/>
          <w:sz w:val="24"/>
          <w:szCs w:val="24"/>
        </w:rPr>
        <w:t>6×His、GST、MBP</w:t>
      </w:r>
      <w:r>
        <w:rPr>
          <w:rFonts w:hint="eastAsia" w:ascii="宋体" w:hAnsi="宋体" w:eastAsia="宋体" w:cs="宋体"/>
          <w:sz w:val="24"/>
          <w:szCs w:val="24"/>
        </w:rPr>
        <w:t>等融合标签，以提高可溶性并简化纯化流程</w:t>
      </w:r>
    </w:p>
    <w:p w14:paraId="6791C92B">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通过Ni-NTA亲和层析（His-tag）</w:t>
      </w:r>
      <w:r>
        <w:rPr>
          <w:rStyle w:val="8"/>
          <w:rFonts w:hint="eastAsia" w:ascii="宋体" w:hAnsi="宋体" w:eastAsia="宋体" w:cs="宋体"/>
          <w:sz w:val="24"/>
          <w:szCs w:val="24"/>
        </w:rPr>
        <w:t>或</w:t>
      </w:r>
      <w:r>
        <w:rPr>
          <w:rFonts w:hint="eastAsia" w:ascii="宋体" w:hAnsi="宋体" w:eastAsia="宋体" w:cs="宋体"/>
          <w:sz w:val="24"/>
          <w:szCs w:val="24"/>
        </w:rPr>
        <w:t>Glutathione Sepharose（GST-tag）进行初步纯化</w:t>
      </w:r>
    </w:p>
    <w:p w14:paraId="0BB8A3EA">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2. 脱标签及高级纯化</w:t>
      </w:r>
    </w:p>
    <w:p w14:paraId="5DA942B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使用</w:t>
      </w:r>
      <w:r>
        <w:rPr>
          <w:rStyle w:val="8"/>
          <w:rFonts w:hint="eastAsia" w:ascii="宋体" w:hAnsi="宋体" w:eastAsia="宋体" w:cs="宋体"/>
          <w:sz w:val="24"/>
          <w:szCs w:val="24"/>
        </w:rPr>
        <w:t>TEV或Thrombin酶切</w:t>
      </w:r>
      <w:r>
        <w:rPr>
          <w:rFonts w:hint="eastAsia" w:ascii="宋体" w:hAnsi="宋体" w:eastAsia="宋体" w:cs="宋体"/>
          <w:sz w:val="24"/>
          <w:szCs w:val="24"/>
        </w:rPr>
        <w:t>去除标签</w:t>
      </w:r>
    </w:p>
    <w:p w14:paraId="7E4A3CC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离子交换层析（如Q-Sepharose）进一步去除杂蛋白</w:t>
      </w:r>
    </w:p>
    <w:p w14:paraId="40FC0FF9">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凝胶过滤（SEC）分离聚集体与单体形式，获得构象均一的样品</w:t>
      </w:r>
    </w:p>
    <w:p w14:paraId="2C0201F6">
      <w:pPr>
        <w:keepNext w:val="0"/>
        <w:keepLines w:val="0"/>
        <w:widowControl/>
        <w:suppressLineNumbers w:val="0"/>
        <w:rPr>
          <w:rFonts w:hint="eastAsia" w:ascii="宋体" w:hAnsi="宋体" w:eastAsia="宋体" w:cs="宋体"/>
          <w:sz w:val="24"/>
          <w:szCs w:val="24"/>
        </w:rPr>
      </w:pPr>
    </w:p>
    <w:p w14:paraId="048D0BD1">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鉴定与质检分析</w:t>
      </w:r>
    </w:p>
    <w:p w14:paraId="418B2EB6">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Tau441纯化后需要通过多维度手段确认其</w:t>
      </w:r>
      <w:r>
        <w:rPr>
          <w:rStyle w:val="8"/>
          <w:rFonts w:hint="eastAsia" w:ascii="宋体" w:hAnsi="宋体" w:eastAsia="宋体" w:cs="宋体"/>
          <w:sz w:val="24"/>
          <w:szCs w:val="24"/>
        </w:rPr>
        <w:t>纯度、构象状态与功能活性</w:t>
      </w:r>
      <w:r>
        <w:rPr>
          <w:rFonts w:hint="eastAsia" w:ascii="宋体" w:hAnsi="宋体" w:eastAsia="宋体" w:cs="宋体"/>
          <w:sz w:val="24"/>
          <w:szCs w:val="24"/>
        </w:rPr>
        <w:t>：</w:t>
      </w:r>
    </w:p>
    <w:p w14:paraId="3CBD6CC1">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1. 纯度与分子量确认</w:t>
      </w:r>
    </w:p>
    <w:p w14:paraId="790255F6">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SDS-PAGE</w:t>
      </w:r>
      <w:r>
        <w:rPr>
          <w:rFonts w:hint="eastAsia" w:ascii="宋体" w:hAnsi="宋体" w:eastAsia="宋体" w:cs="宋体"/>
          <w:sz w:val="24"/>
          <w:szCs w:val="24"/>
        </w:rPr>
        <w:t>：快速评估纯度和蛋白大小</w:t>
      </w:r>
    </w:p>
    <w:p w14:paraId="402A9C11">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Western blot</w:t>
      </w:r>
      <w:r>
        <w:rPr>
          <w:rFonts w:hint="eastAsia" w:ascii="宋体" w:hAnsi="宋体" w:eastAsia="宋体" w:cs="宋体"/>
          <w:sz w:val="24"/>
          <w:szCs w:val="24"/>
        </w:rPr>
        <w:t>：使用抗Tau抗体（如Tau-5、HT7）确认特异性</w:t>
      </w:r>
    </w:p>
    <w:p w14:paraId="3F322769">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质谱（MALDI-TOF/LC-MS）</w:t>
      </w:r>
      <w:r>
        <w:rPr>
          <w:rFonts w:hint="eastAsia" w:ascii="宋体" w:hAnsi="宋体" w:eastAsia="宋体" w:cs="宋体"/>
          <w:sz w:val="24"/>
          <w:szCs w:val="24"/>
        </w:rPr>
        <w:t>：确认氨基酸序列、翻译后修饰（如磷酸化位点）</w:t>
      </w:r>
    </w:p>
    <w:p w14:paraId="616E1724">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2. 构象与聚集性分析</w:t>
      </w:r>
    </w:p>
    <w:p w14:paraId="7E9E831A">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圆二色谱（CD）</w:t>
      </w:r>
      <w:r>
        <w:rPr>
          <w:rFonts w:hint="eastAsia" w:ascii="宋体" w:hAnsi="宋体" w:eastAsia="宋体" w:cs="宋体"/>
          <w:sz w:val="24"/>
          <w:szCs w:val="24"/>
        </w:rPr>
        <w:t>：分析构象是否为随机卷曲（IDP特征）</w:t>
      </w:r>
    </w:p>
    <w:p w14:paraId="7C971B0D">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透射电镜（TEM）/AFM</w:t>
      </w:r>
      <w:r>
        <w:rPr>
          <w:rFonts w:hint="eastAsia" w:ascii="宋体" w:hAnsi="宋体" w:eastAsia="宋体" w:cs="宋体"/>
          <w:sz w:val="24"/>
          <w:szCs w:val="24"/>
        </w:rPr>
        <w:t>：观察聚集状态（如PHFs形成）</w:t>
      </w:r>
    </w:p>
    <w:p w14:paraId="265442A8">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Thioflavin T结合实验（ThT assay）</w:t>
      </w:r>
      <w:r>
        <w:rPr>
          <w:rFonts w:hint="eastAsia" w:ascii="宋体" w:hAnsi="宋体" w:eastAsia="宋体" w:cs="宋体"/>
          <w:sz w:val="24"/>
          <w:szCs w:val="24"/>
        </w:rPr>
        <w:t>：检测β-折叠聚集体荧光强度</w:t>
      </w:r>
    </w:p>
    <w:p w14:paraId="7E4018B6">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3. 功能验证</w:t>
      </w:r>
    </w:p>
    <w:p w14:paraId="7635103B">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微管共沉淀实验</w:t>
      </w:r>
      <w:r>
        <w:rPr>
          <w:rFonts w:hint="eastAsia" w:ascii="宋体" w:hAnsi="宋体" w:eastAsia="宋体" w:cs="宋体"/>
          <w:sz w:val="24"/>
          <w:szCs w:val="24"/>
        </w:rPr>
        <w:t>：检测Tau与微管结合能力</w:t>
      </w:r>
    </w:p>
    <w:p w14:paraId="616D5AD3">
      <w:pPr>
        <w:pStyle w:val="5"/>
        <w:keepNext w:val="0"/>
        <w:keepLines w:val="0"/>
        <w:widowControl/>
        <w:suppressLineNumbers w:val="0"/>
        <w:rPr>
          <w:rFonts w:hint="eastAsia" w:ascii="宋体" w:hAnsi="宋体" w:eastAsia="宋体" w:cs="宋体"/>
          <w:sz w:val="24"/>
          <w:szCs w:val="24"/>
        </w:rPr>
      </w:pPr>
      <w:r>
        <w:rPr>
          <w:rStyle w:val="8"/>
          <w:rFonts w:hint="eastAsia" w:ascii="宋体" w:hAnsi="宋体" w:eastAsia="宋体" w:cs="宋体"/>
          <w:sz w:val="24"/>
          <w:szCs w:val="24"/>
        </w:rPr>
        <w:t>细胞模型诱导实验</w:t>
      </w:r>
      <w:r>
        <w:rPr>
          <w:rFonts w:hint="eastAsia" w:ascii="宋体" w:hAnsi="宋体" w:eastAsia="宋体" w:cs="宋体"/>
          <w:sz w:val="24"/>
          <w:szCs w:val="24"/>
        </w:rPr>
        <w:t>：验证Tau PFFs引起的Tau转导与聚集能力</w:t>
      </w:r>
    </w:p>
    <w:p w14:paraId="6442403F">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科研应用与发展展望</w:t>
      </w:r>
    </w:p>
    <w:p w14:paraId="35295926">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Tau441重组蛋白在神经变性研究中具有广泛应用：</w:t>
      </w:r>
    </w:p>
    <w:p w14:paraId="24FB8223">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1. 构建体外聚集模型</w:t>
      </w:r>
    </w:p>
    <w:p w14:paraId="58406A77">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可诱导Tau形成PHFs、SFs等病理构象，用于机制研究和抑制剂筛选：</w:t>
      </w:r>
    </w:p>
    <w:p w14:paraId="5E7042F8">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添加肝素、RNA、脂质体等诱导剂促进Tau聚集</w:t>
      </w:r>
    </w:p>
    <w:p w14:paraId="4D8999F9">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用于测试药物、抗体对聚集过程的影响</w:t>
      </w:r>
    </w:p>
    <w:p w14:paraId="5FBCC9CC">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2. 细胞/动物模型构建</w:t>
      </w:r>
    </w:p>
    <w:p w14:paraId="7043D233">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Tau PFFs已成为研究Tau跨细胞传播的重要工具：</w:t>
      </w:r>
    </w:p>
    <w:p w14:paraId="14EAABD0">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在细胞内诱导Tau内源性聚集</w:t>
      </w:r>
    </w:p>
    <w:p w14:paraId="270C9FF2">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在小鼠脑注射构建tauopathy病理模型</w:t>
      </w:r>
    </w:p>
    <w:p w14:paraId="02B67424">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3. 磷酸化或突变体研究</w:t>
      </w:r>
    </w:p>
    <w:p w14:paraId="1CC1485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构建疾病相关变体如</w:t>
      </w:r>
      <w:r>
        <w:rPr>
          <w:rStyle w:val="8"/>
          <w:rFonts w:hint="eastAsia" w:ascii="宋体" w:hAnsi="宋体" w:eastAsia="宋体" w:cs="宋体"/>
          <w:sz w:val="24"/>
          <w:szCs w:val="24"/>
        </w:rPr>
        <w:t>P301L、V337M、S262E</w:t>
      </w:r>
      <w:r>
        <w:rPr>
          <w:rFonts w:hint="eastAsia" w:ascii="宋体" w:hAnsi="宋体" w:eastAsia="宋体" w:cs="宋体"/>
          <w:sz w:val="24"/>
          <w:szCs w:val="24"/>
        </w:rPr>
        <w:t>等，探索Tau的调控通路及其与GSK-3β、CDK5等激酶的作用关系。</w:t>
      </w:r>
    </w:p>
    <w:p w14:paraId="0300BFFF">
      <w:pPr>
        <w:pStyle w:val="4"/>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4. 药物筛选平台</w:t>
      </w:r>
    </w:p>
    <w:p w14:paraId="6FEF68C1">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用于开发Tau聚集抑制剂、小分子调控剂及抗体疗法的体外高通量筛选模型。</w:t>
      </w:r>
    </w:p>
    <w:p w14:paraId="2B87314D">
      <w:pPr>
        <w:pStyle w:val="3"/>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rPr>
        <w:t>参考文献</w:t>
      </w:r>
    </w:p>
    <w:p w14:paraId="750B1F64">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 xml:space="preserve">Wang Y, Mandelkow E. Tau in physiology and pathology. </w:t>
      </w:r>
      <w:r>
        <w:rPr>
          <w:rStyle w:val="9"/>
          <w:rFonts w:hint="eastAsia" w:ascii="宋体" w:hAnsi="宋体" w:eastAsia="宋体" w:cs="宋体"/>
          <w:sz w:val="24"/>
          <w:szCs w:val="24"/>
        </w:rPr>
        <w:t>Nat Rev Neurosci.</w:t>
      </w:r>
      <w:r>
        <w:rPr>
          <w:rFonts w:hint="eastAsia" w:ascii="宋体" w:hAnsi="宋体" w:eastAsia="宋体" w:cs="宋体"/>
          <w:sz w:val="24"/>
          <w:szCs w:val="24"/>
        </w:rPr>
        <w:t xml:space="preserve"> 2016;17(1):5–21.</w:t>
      </w:r>
    </w:p>
    <w:p w14:paraId="5594CF47">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 xml:space="preserve">Goedert M, Spillantini MG. Ordered assembly of Tau protein and neurodegeneration. </w:t>
      </w:r>
      <w:r>
        <w:rPr>
          <w:rStyle w:val="9"/>
          <w:rFonts w:hint="eastAsia" w:ascii="宋体" w:hAnsi="宋体" w:eastAsia="宋体" w:cs="宋体"/>
          <w:sz w:val="24"/>
          <w:szCs w:val="24"/>
        </w:rPr>
        <w:t>Adv Exp Med Biol.</w:t>
      </w:r>
      <w:r>
        <w:rPr>
          <w:rFonts w:hint="eastAsia" w:ascii="宋体" w:hAnsi="宋体" w:eastAsia="宋体" w:cs="宋体"/>
          <w:sz w:val="24"/>
          <w:szCs w:val="24"/>
        </w:rPr>
        <w:t xml:space="preserve"> 2019;1184:3–21.</w:t>
      </w:r>
    </w:p>
    <w:p w14:paraId="678172F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 xml:space="preserve">Barghorn S et al. Structure, microtubule interactions, and paired helical filament aggregation by Tau mutants. </w:t>
      </w:r>
      <w:r>
        <w:rPr>
          <w:rStyle w:val="9"/>
          <w:rFonts w:hint="eastAsia" w:ascii="宋体" w:hAnsi="宋体" w:eastAsia="宋体" w:cs="宋体"/>
          <w:sz w:val="24"/>
          <w:szCs w:val="24"/>
        </w:rPr>
        <w:t>J Biol Chem.</w:t>
      </w:r>
      <w:r>
        <w:rPr>
          <w:rFonts w:hint="eastAsia" w:ascii="宋体" w:hAnsi="宋体" w:eastAsia="宋体" w:cs="宋体"/>
          <w:sz w:val="24"/>
          <w:szCs w:val="24"/>
        </w:rPr>
        <w:t xml:space="preserve"> 2000;275(24):17308–17314.</w:t>
      </w:r>
    </w:p>
    <w:p w14:paraId="3830A847">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Fitzpatrick AWP et al. Cryo-EM structures of tau filaments from Alzheimer’s disease. </w:t>
      </w:r>
      <w:r>
        <w:rPr>
          <w:rStyle w:val="9"/>
          <w:rFonts w:hint="eastAsia" w:ascii="宋体" w:hAnsi="宋体" w:eastAsia="宋体" w:cs="宋体"/>
          <w:sz w:val="24"/>
          <w:szCs w:val="24"/>
        </w:rPr>
        <w:t>Nature.</w:t>
      </w:r>
      <w:r>
        <w:rPr>
          <w:rFonts w:hint="eastAsia" w:ascii="宋体" w:hAnsi="宋体" w:eastAsia="宋体" w:cs="宋体"/>
          <w:sz w:val="24"/>
          <w:szCs w:val="24"/>
        </w:rPr>
        <w:t xml:space="preserve"> 2017;547(7662):185–190.</w:t>
      </w:r>
    </w:p>
    <w:p w14:paraId="05E1478A">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Avila J, et al. Tau phosphorylation and aggregation in Alzheimer's disease and other tauopathies. </w:t>
      </w:r>
      <w:r>
        <w:rPr>
          <w:rStyle w:val="9"/>
          <w:rFonts w:hint="eastAsia" w:ascii="宋体" w:hAnsi="宋体" w:eastAsia="宋体" w:cs="宋体"/>
          <w:sz w:val="24"/>
          <w:szCs w:val="24"/>
        </w:rPr>
        <w:t>Biochim Biophys Acta.</w:t>
      </w:r>
      <w:r>
        <w:rPr>
          <w:rFonts w:hint="eastAsia" w:ascii="宋体" w:hAnsi="宋体" w:eastAsia="宋体" w:cs="宋体"/>
          <w:sz w:val="24"/>
          <w:szCs w:val="24"/>
        </w:rPr>
        <w:t xml:space="preserve"> 2004;1739(2-3):331–339.</w:t>
      </w:r>
    </w:p>
    <w:p w14:paraId="3E1B6E43">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Li W et al. Heparin-induced tau filaments are polymorphic and differ from those in Alzheimer's and Pick's diseases. </w:t>
      </w:r>
      <w:r>
        <w:rPr>
          <w:rStyle w:val="9"/>
          <w:rFonts w:hint="eastAsia" w:ascii="宋体" w:hAnsi="宋体" w:eastAsia="宋体" w:cs="宋体"/>
          <w:sz w:val="24"/>
          <w:szCs w:val="24"/>
        </w:rPr>
        <w:t>Elife.</w:t>
      </w:r>
      <w:r>
        <w:rPr>
          <w:rFonts w:hint="eastAsia" w:ascii="宋体" w:hAnsi="宋体" w:eastAsia="宋体" w:cs="宋体"/>
          <w:sz w:val="24"/>
          <w:szCs w:val="24"/>
        </w:rPr>
        <w:t xml:space="preserve"> 2018;7:e43584.</w:t>
      </w:r>
    </w:p>
    <w:p w14:paraId="7BB1DDF6">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 xml:space="preserve">Iqbal K et al. Tau pathology in Alzheimer disease and other tauopathies. </w:t>
      </w:r>
      <w:r>
        <w:rPr>
          <w:rStyle w:val="9"/>
          <w:rFonts w:hint="eastAsia" w:ascii="宋体" w:hAnsi="宋体" w:eastAsia="宋体" w:cs="宋体"/>
          <w:sz w:val="24"/>
          <w:szCs w:val="24"/>
        </w:rPr>
        <w:t>Biochim Biophys Acta.</w:t>
      </w:r>
      <w:r>
        <w:rPr>
          <w:rFonts w:hint="eastAsia" w:ascii="宋体" w:hAnsi="宋体" w:eastAsia="宋体" w:cs="宋体"/>
          <w:sz w:val="24"/>
          <w:szCs w:val="24"/>
        </w:rPr>
        <w:t xml:space="preserve"> 2009;1792(7):641–648.</w:t>
      </w:r>
    </w:p>
    <w:p w14:paraId="2B307D96">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 xml:space="preserve">Hanger DP et al. Tau phosphorylation: the therapeutic challenge for neurodegenerative disease. </w:t>
      </w:r>
      <w:r>
        <w:rPr>
          <w:rStyle w:val="9"/>
          <w:rFonts w:hint="eastAsia" w:ascii="宋体" w:hAnsi="宋体" w:eastAsia="宋体" w:cs="宋体"/>
          <w:sz w:val="24"/>
          <w:szCs w:val="24"/>
        </w:rPr>
        <w:t>Trends Mol Med.</w:t>
      </w:r>
      <w:r>
        <w:rPr>
          <w:rFonts w:hint="eastAsia" w:ascii="宋体" w:hAnsi="宋体" w:eastAsia="宋体" w:cs="宋体"/>
          <w:sz w:val="24"/>
          <w:szCs w:val="24"/>
        </w:rPr>
        <w:t xml:space="preserve"> 2009;15(3):112–119.</w:t>
      </w:r>
    </w:p>
    <w:p w14:paraId="46B7824C">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9.</w:t>
      </w:r>
      <w:r>
        <w:rPr>
          <w:rFonts w:hint="eastAsia" w:ascii="宋体" w:hAnsi="宋体" w:eastAsia="宋体" w:cs="宋体"/>
          <w:sz w:val="24"/>
          <w:szCs w:val="24"/>
        </w:rPr>
        <w:t xml:space="preserve">Sahara N et al. Assembly of tau in transgenic animals. </w:t>
      </w:r>
      <w:r>
        <w:rPr>
          <w:rStyle w:val="9"/>
          <w:rFonts w:hint="eastAsia" w:ascii="宋体" w:hAnsi="宋体" w:eastAsia="宋体" w:cs="宋体"/>
          <w:sz w:val="24"/>
          <w:szCs w:val="24"/>
        </w:rPr>
        <w:t>FEBS J.</w:t>
      </w:r>
      <w:r>
        <w:rPr>
          <w:rFonts w:hint="eastAsia" w:ascii="宋体" w:hAnsi="宋体" w:eastAsia="宋体" w:cs="宋体"/>
          <w:sz w:val="24"/>
          <w:szCs w:val="24"/>
        </w:rPr>
        <w:t xml:space="preserve"> 2008;275(23):5765–5771.</w:t>
      </w:r>
    </w:p>
    <w:p w14:paraId="622AB264">
      <w:pPr>
        <w:pStyle w:val="5"/>
        <w:keepNext w:val="0"/>
        <w:keepLines w:val="0"/>
        <w:widowControl/>
        <w:suppressLineNumbers w:val="0"/>
        <w:rPr>
          <w:rFonts w:hint="eastAsia" w:ascii="宋体" w:hAnsi="宋体" w:eastAsia="宋体" w:cs="宋体"/>
          <w:sz w:val="24"/>
          <w:szCs w:val="24"/>
        </w:rPr>
      </w:pPr>
      <w:r>
        <w:rPr>
          <w:rFonts w:hint="eastAsia" w:ascii="宋体" w:hAnsi="宋体" w:eastAsia="宋体" w:cs="宋体"/>
          <w:sz w:val="24"/>
          <w:szCs w:val="24"/>
          <w:lang w:val="en-US" w:eastAsia="zh-CN"/>
        </w:rPr>
        <w:t>10.</w:t>
      </w:r>
      <w:r>
        <w:rPr>
          <w:rFonts w:hint="eastAsia" w:ascii="宋体" w:hAnsi="宋体" w:eastAsia="宋体" w:cs="宋体"/>
          <w:sz w:val="24"/>
          <w:szCs w:val="24"/>
        </w:rPr>
        <w:t xml:space="preserve">Patterson KR et al. Characterization of prefibrillar Tau oligomers in vitro and in Alzheimer’s disease. </w:t>
      </w:r>
      <w:r>
        <w:rPr>
          <w:rStyle w:val="9"/>
          <w:rFonts w:hint="eastAsia" w:ascii="宋体" w:hAnsi="宋体" w:eastAsia="宋体" w:cs="宋体"/>
          <w:sz w:val="24"/>
          <w:szCs w:val="24"/>
        </w:rPr>
        <w:t>J Biol Chem.</w:t>
      </w:r>
      <w:r>
        <w:rPr>
          <w:rFonts w:hint="eastAsia" w:ascii="宋体" w:hAnsi="宋体" w:eastAsia="宋体" w:cs="宋体"/>
          <w:sz w:val="24"/>
          <w:szCs w:val="24"/>
        </w:rPr>
        <w:t xml:space="preserve"> 2011;286(26):23063–23076.</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00B22"/>
    <w:rsid w:val="110C12EC"/>
    <w:rsid w:val="2F2B230B"/>
    <w:rsid w:val="4F3728BF"/>
    <w:rsid w:val="51AD500C"/>
    <w:rsid w:val="539921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32"/>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i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1656</Words>
  <Characters>2953</Characters>
  <Lines>0</Lines>
  <Paragraphs>0</Paragraphs>
  <TotalTime>0</TotalTime>
  <ScaleCrop>false</ScaleCrop>
  <LinksUpToDate>false</LinksUpToDate>
  <CharactersWithSpaces>3138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2023-06-09T08:24:00Z</dcterms:created>
  <dc:creator>admin</dc:creator>
  <cp:lastModifiedBy>随缘</cp:lastModifiedBy>
  <dcterms:modified xsi:type="dcterms:W3CDTF">2025-06-06T04:26:44Z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73CCF615755F4239A9047D9F2406E4E7_12</vt:lpwstr>
  </property>
  <property fmtid="{D5CDD505-2E9C-101B-9397-08002B2CF9AE}" pid="4" name="KSOTemplateDocerSaveRecord">
    <vt:lpwstr>eyJoZGlkIjoiMDY4NTMzZWI4Njg0MmQ3NzI1M2U4NDYzYzBlOWI5MTciLCJ1c2VySWQiOiI2MTc1NjQyNTUifQ==</vt:lpwstr>
  </property>
</Properties>
</file>