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360" w:beforeAutospacing="0" w:after="360" w:afterAutospacing="0"/>
        <w:ind w:left="0" w:right="0" w:firstLine="482" w:firstLineChars="200"/>
        <w:jc w:val="left"/>
        <w:rPr>
          <w:rStyle w:val="5"/>
          <w:rFonts w:hint="eastAsia" w:ascii="宋体" w:hAnsi="宋体" w:eastAsia="宋体" w:cs="宋体"/>
          <w:b/>
          <w:bCs/>
          <w:i w:val="0"/>
          <w:iCs w:val="0"/>
          <w:caps w:val="0"/>
          <w:color w:val="121212"/>
          <w:spacing w:val="0"/>
          <w:sz w:val="24"/>
          <w:szCs w:val="24"/>
          <w:shd w:val="clear" w:fill="FFFFFF"/>
        </w:rPr>
      </w:pPr>
      <w:r>
        <w:rPr>
          <w:rStyle w:val="5"/>
          <w:rFonts w:hint="eastAsia" w:ascii="宋体" w:hAnsi="宋体" w:eastAsia="宋体" w:cs="宋体"/>
          <w:b/>
          <w:bCs/>
          <w:i w:val="0"/>
          <w:iCs w:val="0"/>
          <w:caps w:val="0"/>
          <w:color w:val="121212"/>
          <w:spacing w:val="0"/>
          <w:sz w:val="24"/>
          <w:szCs w:val="24"/>
          <w:shd w:val="clear" w:fill="FFFFFF"/>
        </w:rPr>
        <w:t>多发性骨髓瘤</w:t>
      </w:r>
    </w:p>
    <w:p>
      <w:pPr>
        <w:pStyle w:val="2"/>
        <w:keepNext w:val="0"/>
        <w:keepLines w:val="0"/>
        <w:widowControl/>
        <w:suppressLineNumbers w:val="0"/>
        <w:spacing w:before="360" w:beforeAutospacing="0" w:after="360" w:afterAutospacing="0"/>
        <w:ind w:left="0" w:right="0" w:firstLine="480" w:firstLineChars="200"/>
        <w:jc w:val="left"/>
        <w:rPr>
          <w:rFonts w:hint="eastAsia" w:ascii="宋体" w:hAnsi="宋体" w:eastAsia="宋体" w:cs="宋体"/>
        </w:rPr>
      </w:pPr>
      <w:r>
        <w:rPr>
          <w:rFonts w:hint="eastAsia" w:ascii="宋体" w:hAnsi="宋体" w:eastAsia="宋体" w:cs="宋体"/>
          <w:i w:val="0"/>
          <w:iCs w:val="0"/>
          <w:caps w:val="0"/>
          <w:color w:val="121212"/>
          <w:spacing w:val="0"/>
          <w:sz w:val="24"/>
          <w:szCs w:val="24"/>
        </w:rPr>
        <w:t>多发性骨髓瘤（multiple myeloma，MM）是一种克隆浆细胞异常增殖的恶性疾病，在很多国家是血液系统第2位常见的恶性肿瘤，多发于老年人，目前仍然无法治愈。</w:t>
      </w:r>
    </w:p>
    <w:p>
      <w:pPr>
        <w:pStyle w:val="2"/>
        <w:keepNext w:val="0"/>
        <w:keepLines w:val="0"/>
        <w:widowControl/>
        <w:suppressLineNumbers w:val="0"/>
        <w:spacing w:before="360" w:beforeAutospacing="0" w:after="360" w:afterAutospacing="0"/>
        <w:ind w:left="0" w:right="0" w:firstLine="480" w:firstLineChars="200"/>
        <w:jc w:val="left"/>
        <w:rPr>
          <w:rFonts w:hint="eastAsia" w:ascii="宋体" w:hAnsi="宋体" w:eastAsia="宋体" w:cs="宋体"/>
        </w:rPr>
      </w:pPr>
      <w:r>
        <w:rPr>
          <w:rFonts w:hint="eastAsia" w:ascii="宋体" w:hAnsi="宋体" w:eastAsia="宋体" w:cs="宋体"/>
          <w:i w:val="0"/>
          <w:iCs w:val="0"/>
          <w:caps w:val="0"/>
          <w:color w:val="121212"/>
          <w:spacing w:val="0"/>
          <w:sz w:val="24"/>
          <w:szCs w:val="24"/>
        </w:rPr>
        <w:t>多发性骨髓瘤常见的症状包括骨髓瘤相关器官功能损伤的表现，即“CRAB”症状，主要包括：血钙增高、肾功能损害、贫血、骨病等相关表现。其中，骨病是多发性骨髓瘤患者的特征性临床表现之一，大约90%的患者在疾病的进程中出现多发性骨髓瘤骨病，包括全身性骨质疏松、溶骨性破坏以及病理性骨折。</w:t>
      </w:r>
    </w:p>
    <w:p>
      <w:pPr>
        <w:pStyle w:val="2"/>
        <w:keepNext w:val="0"/>
        <w:keepLines w:val="0"/>
        <w:widowControl/>
        <w:suppressLineNumbers w:val="0"/>
        <w:spacing w:before="360" w:beforeAutospacing="0" w:after="360" w:afterAutospacing="0"/>
        <w:ind w:left="0" w:right="0" w:firstLine="480" w:firstLineChars="200"/>
        <w:jc w:val="left"/>
        <w:rPr>
          <w:rFonts w:hint="eastAsia" w:ascii="宋体" w:hAnsi="宋体" w:eastAsia="宋体" w:cs="宋体"/>
        </w:rPr>
      </w:pPr>
      <w:r>
        <w:rPr>
          <w:rFonts w:hint="eastAsia" w:ascii="宋体" w:hAnsi="宋体" w:eastAsia="宋体" w:cs="宋体"/>
          <w:i w:val="0"/>
          <w:iCs w:val="0"/>
          <w:caps w:val="0"/>
          <w:color w:val="121212"/>
          <w:spacing w:val="0"/>
          <w:sz w:val="24"/>
          <w:szCs w:val="24"/>
        </w:rPr>
        <w:t>多发性骨髓瘤骨病常导致患者骨痛和多种骨并发症，其中包括骨相关事件（SRE）。SRE是指骨损害所致的病理性骨折、脊髓压迫、高钙血症、为缓解骨疼痛进行放射治疗、为预防或治疗脊髓压迫或病理性骨折而进行的骨外科手术等。骨损害所致的骨骼病变及SRE，不仅严重影响患者自主活动能力和生活质量，而且还威胁患者的生存。多发性骨髓瘤患者的主要临床特征为骨痛，常为疾病的首发症状和患者就医的主要原因之一，部位以腰骶部疼痛最为常见（70%左右）。</w:t>
      </w:r>
    </w:p>
    <w:p>
      <w:pPr>
        <w:pStyle w:val="2"/>
        <w:keepNext w:val="0"/>
        <w:keepLines w:val="0"/>
        <w:widowControl/>
        <w:suppressLineNumbers w:val="0"/>
        <w:spacing w:before="360" w:beforeAutospacing="0" w:after="360" w:afterAutospacing="0"/>
        <w:ind w:left="0" w:right="0" w:firstLine="480" w:firstLineChars="200"/>
        <w:jc w:val="left"/>
        <w:rPr>
          <w:rFonts w:hint="eastAsia" w:ascii="宋体" w:hAnsi="宋体" w:eastAsia="宋体" w:cs="宋体"/>
        </w:rPr>
      </w:pPr>
      <w:r>
        <w:rPr>
          <w:rFonts w:hint="eastAsia" w:ascii="宋体" w:hAnsi="宋体" w:eastAsia="宋体" w:cs="宋体"/>
          <w:i w:val="0"/>
          <w:iCs w:val="0"/>
          <w:caps w:val="0"/>
          <w:color w:val="121212"/>
          <w:spacing w:val="0"/>
          <w:sz w:val="24"/>
          <w:szCs w:val="24"/>
        </w:rPr>
        <w:t>临床治疗中，对原发病多发性骨髓瘤的有效治疗（包括规范化的化疗和靶向治疗以及自体造血干细胞移植）是治疗多发性骨髓瘤骨病的基础和最重要的部分。同时，还需针对多发性骨髓瘤骨病的治疗，包括减少骨质破坏、减轻骨痛症状和治疗骨病并发症。对于多发性骨髓瘤骨病的治疗，指南推荐使用双膦酸盐，可以联合止痛药、化疗、靶向治疗和放射治疗合并使用。</w:t>
      </w:r>
    </w:p>
    <w:p>
      <w:pPr>
        <w:pStyle w:val="2"/>
        <w:keepNext w:val="0"/>
        <w:keepLines w:val="0"/>
        <w:widowControl/>
        <w:suppressLineNumbers w:val="0"/>
        <w:spacing w:before="360" w:beforeAutospacing="0" w:after="360" w:afterAutospacing="0"/>
        <w:ind w:left="0" w:right="0" w:firstLine="480" w:firstLineChars="200"/>
        <w:jc w:val="left"/>
        <w:rPr>
          <w:rFonts w:hint="eastAsia" w:ascii="宋体" w:hAnsi="宋体" w:eastAsia="宋体" w:cs="宋体"/>
        </w:rPr>
      </w:pPr>
      <w:r>
        <w:rPr>
          <w:rFonts w:hint="eastAsia" w:ascii="宋体" w:hAnsi="宋体" w:eastAsia="宋体" w:cs="宋体"/>
          <w:i w:val="0"/>
          <w:iCs w:val="0"/>
          <w:caps w:val="0"/>
          <w:color w:val="121212"/>
          <w:spacing w:val="0"/>
          <w:sz w:val="24"/>
          <w:szCs w:val="24"/>
        </w:rPr>
        <w:t>双膦酸盐是焦磷酸盐分子的稳定类似物，破骨细胞聚集于矿化骨基质后，通过酶水解作用而导致骨重吸收，而双膦酸盐可以抑制破骨细胞介导的骨重吸收作用，还可抑制破骨细胞成熟、抑制成熟破骨细胞的功能、抑制破骨细胞在骨质吸收部位的聚集，并且可抑制肿瘤细胞扩散、浸润和黏附于骨基质。</w:t>
      </w:r>
    </w:p>
    <w:p>
      <w:pPr>
        <w:pStyle w:val="2"/>
        <w:keepNext w:val="0"/>
        <w:keepLines w:val="0"/>
        <w:widowControl/>
        <w:suppressLineNumbers w:val="0"/>
        <w:spacing w:before="360" w:beforeAutospacing="0" w:after="360" w:afterAutospacing="0"/>
        <w:ind w:left="0" w:right="0" w:firstLine="480" w:firstLineChars="200"/>
        <w:jc w:val="left"/>
        <w:rPr>
          <w:rFonts w:hint="eastAsia" w:ascii="宋体" w:hAnsi="宋体" w:eastAsia="宋体" w:cs="宋体"/>
        </w:rPr>
      </w:pPr>
      <w:r>
        <w:rPr>
          <w:rFonts w:hint="eastAsia" w:ascii="宋体" w:hAnsi="宋体" w:eastAsia="宋体" w:cs="宋体"/>
          <w:i w:val="0"/>
          <w:iCs w:val="0"/>
          <w:caps w:val="0"/>
          <w:color w:val="121212"/>
          <w:spacing w:val="0"/>
          <w:sz w:val="24"/>
          <w:szCs w:val="24"/>
        </w:rPr>
        <w:t>双膦酸盐化学结构中与中心碳原子连接的侧链不同，双膦酸盐类药物的临床活性和功效也有所不同。双膦酸盐类药物按照分子结构侧链的不同分为三代：第一代是简单的P-C-P结构，代表药物是氯屈膦酸钠；第二代双膦酸盐侧链含有氨基，代表药物主要为帕米膦酸二钠和阿仑膦酸；第三代为具有杂环结构的含氮双膦酸盐唑来膦酸和具有饱和烃链的伊班膦酸钠，作用强度和疗效比第二代进一步提高。</w:t>
      </w:r>
    </w:p>
    <w:p>
      <w:pPr>
        <w:pStyle w:val="2"/>
        <w:keepNext w:val="0"/>
        <w:keepLines w:val="0"/>
        <w:widowControl/>
        <w:suppressLineNumbers w:val="0"/>
        <w:spacing w:before="360" w:beforeAutospacing="0" w:after="360" w:afterAutospacing="0"/>
        <w:ind w:left="0" w:right="0" w:firstLine="480" w:firstLineChars="200"/>
        <w:jc w:val="left"/>
        <w:rPr>
          <w:rFonts w:hint="eastAsia" w:ascii="宋体" w:hAnsi="宋体" w:eastAsia="宋体" w:cs="宋体"/>
        </w:rPr>
      </w:pPr>
      <w:r>
        <w:rPr>
          <w:rFonts w:hint="eastAsia" w:ascii="宋体" w:hAnsi="宋体" w:eastAsia="宋体" w:cs="宋体"/>
          <w:i w:val="0"/>
          <w:iCs w:val="0"/>
          <w:caps w:val="0"/>
          <w:color w:val="121212"/>
          <w:spacing w:val="0"/>
          <w:sz w:val="24"/>
          <w:szCs w:val="24"/>
        </w:rPr>
        <w:t>伊班膦酸钠侧链为饱和烃链，其分子空间结构相对较小，因此，肾脏安全性优于其它的静脉用双膦酸盐。研</w:t>
      </w:r>
      <w:bookmarkStart w:id="0" w:name="_GoBack"/>
      <w:bookmarkEnd w:id="0"/>
      <w:r>
        <w:rPr>
          <w:rFonts w:hint="eastAsia" w:ascii="宋体" w:hAnsi="宋体" w:eastAsia="宋体" w:cs="宋体"/>
          <w:i w:val="0"/>
          <w:iCs w:val="0"/>
          <w:caps w:val="0"/>
          <w:color w:val="121212"/>
          <w:spacing w:val="0"/>
          <w:sz w:val="24"/>
          <w:szCs w:val="24"/>
        </w:rPr>
        <w:t>究证明：伊班膦酸钠注射液6mg/天/3-4周静脉滴注治疗多发性骨髓瘤骨病，无肾脏毒性的风险。即使是在高风险的多发性骨髓瘤患者和严重的肾功能损害的患者，伊班膦酸钠注射液仍表现出良好的肾脏安全性。</w:t>
      </w:r>
    </w:p>
    <w:p>
      <w:pPr>
        <w:pStyle w:val="2"/>
        <w:keepNext w:val="0"/>
        <w:keepLines w:val="0"/>
        <w:widowControl/>
        <w:suppressLineNumbers w:val="0"/>
        <w:spacing w:before="360" w:beforeAutospacing="0" w:after="360" w:afterAutospacing="0"/>
        <w:ind w:left="0" w:right="0" w:firstLine="480" w:firstLineChars="200"/>
        <w:jc w:val="left"/>
        <w:rPr>
          <w:rFonts w:hint="eastAsia" w:ascii="宋体" w:hAnsi="宋体" w:eastAsia="宋体" w:cs="宋体"/>
        </w:rPr>
      </w:pPr>
      <w:r>
        <w:rPr>
          <w:rFonts w:hint="eastAsia" w:ascii="宋体" w:hAnsi="宋体" w:eastAsia="宋体" w:cs="宋体"/>
          <w:i w:val="0"/>
          <w:iCs w:val="0"/>
          <w:caps w:val="0"/>
          <w:color w:val="121212"/>
          <w:spacing w:val="0"/>
          <w:sz w:val="24"/>
          <w:szCs w:val="24"/>
        </w:rPr>
        <w:t>肾脏损害是多发性骨髓瘤患者常见的并发症，大约50%的患者会发生肾功能不全，甚至有20%的患者会发生进行性肾功能衰竭。双膦酸盐的肾毒性是多发性骨髓瘤骨病治疗的一个重要安全考虑。伊班膦酸钠注射液因其优越的肾脏安全性，可能成为多发性骨髓瘤骨病治疗的新选择，同时，多发性骨髓瘤骨病患者尽量避免使用具有肾毒性药物，以免加重肾脏损伤。</w:t>
      </w:r>
    </w:p>
    <w:p>
      <w:pPr>
        <w:keepNext w:val="0"/>
        <w:keepLines w:val="0"/>
        <w:widowControl/>
        <w:suppressLineNumbers w:val="0"/>
        <w:ind w:left="0" w:firstLine="480" w:firstLineChars="200"/>
        <w:jc w:val="left"/>
        <w:rPr>
          <w:rFonts w:hint="eastAsia" w:ascii="宋体" w:hAnsi="宋体" w:eastAsia="宋体" w:cs="宋体"/>
          <w:i w:val="0"/>
          <w:iCs w:val="0"/>
          <w:caps w:val="0"/>
          <w:color w:val="121212"/>
          <w:spacing w:val="0"/>
          <w:sz w:val="24"/>
          <w:szCs w:val="24"/>
        </w:rPr>
      </w:pPr>
      <w:r>
        <w:rPr>
          <w:rFonts w:hint="eastAsia" w:ascii="宋体" w:hAnsi="宋体" w:eastAsia="宋体" w:cs="宋体"/>
          <w:i w:val="0"/>
          <w:iCs w:val="0"/>
          <w:caps w:val="0"/>
          <w:color w:val="121212"/>
          <w:spacing w:val="0"/>
          <w:kern w:val="0"/>
          <w:sz w:val="24"/>
          <w:szCs w:val="24"/>
          <w:lang w:val="en-US" w:eastAsia="zh-CN" w:bidi="ar"/>
        </w:rPr>
        <w:t>参考文献：</w:t>
      </w:r>
    </w:p>
    <w:p>
      <w:pPr>
        <w:pStyle w:val="2"/>
        <w:keepNext w:val="0"/>
        <w:keepLines w:val="0"/>
        <w:widowControl/>
        <w:suppressLineNumbers w:val="0"/>
        <w:spacing w:before="360" w:beforeAutospacing="0" w:after="360" w:afterAutospacing="0"/>
        <w:ind w:left="0" w:right="0" w:firstLine="480" w:firstLineChars="200"/>
        <w:jc w:val="left"/>
        <w:rPr>
          <w:rFonts w:hint="eastAsia" w:ascii="宋体" w:hAnsi="宋体" w:eastAsia="宋体" w:cs="宋体"/>
        </w:rPr>
      </w:pPr>
      <w:r>
        <w:rPr>
          <w:rFonts w:hint="eastAsia" w:ascii="宋体" w:hAnsi="宋体" w:eastAsia="宋体" w:cs="宋体"/>
          <w:i w:val="0"/>
          <w:iCs w:val="0"/>
          <w:caps w:val="0"/>
          <w:color w:val="121212"/>
          <w:spacing w:val="0"/>
          <w:sz w:val="24"/>
          <w:szCs w:val="24"/>
        </w:rPr>
        <w:t>1.《多发性骨髓瘤骨病诊治指南》 中华血液学杂志2011年10月第32卷第10期2.《中国多发性骨髓瘤诊治指南》（2020年修订）  中华内科杂志2020年5月第59卷第5期3.  Renal Safety and Pharmacokinetics of Ibandronate in Multiple Myeloma Patients With or Without Impaired Renal Function   J Clin Pharmacol 2007;47:942-950</w:t>
      </w:r>
    </w:p>
    <w:p>
      <w:pPr>
        <w:pStyle w:val="2"/>
        <w:keepNext w:val="0"/>
        <w:keepLines w:val="0"/>
        <w:widowControl/>
        <w:suppressLineNumbers w:val="0"/>
        <w:spacing w:before="360" w:beforeAutospacing="0" w:after="360" w:afterAutospacing="0"/>
        <w:ind w:left="0" w:right="0" w:firstLine="482" w:firstLineChars="200"/>
        <w:jc w:val="left"/>
        <w:rPr>
          <w:rFonts w:hint="eastAsia" w:ascii="宋体" w:hAnsi="宋体" w:eastAsia="宋体" w:cs="宋体"/>
        </w:rPr>
      </w:pPr>
      <w:r>
        <w:rPr>
          <w:rStyle w:val="5"/>
          <w:rFonts w:hint="eastAsia" w:ascii="宋体" w:hAnsi="宋体" w:eastAsia="宋体" w:cs="宋体"/>
          <w:b/>
          <w:bCs/>
          <w:i w:val="0"/>
          <w:iCs w:val="0"/>
          <w:caps w:val="0"/>
          <w:color w:val="121212"/>
          <w:spacing w:val="0"/>
          <w:sz w:val="24"/>
          <w:szCs w:val="24"/>
        </w:rPr>
        <w:t>鼻咽癌骨转移</w:t>
      </w:r>
    </w:p>
    <w:p>
      <w:pPr>
        <w:keepNext w:val="0"/>
        <w:keepLines w:val="0"/>
        <w:widowControl/>
        <w:suppressLineNumbers w:val="0"/>
        <w:ind w:left="0" w:firstLine="480" w:firstLineChars="200"/>
        <w:jc w:val="left"/>
        <w:rPr>
          <w:rFonts w:hint="eastAsia" w:ascii="宋体" w:hAnsi="宋体" w:eastAsia="宋体" w:cs="宋体"/>
          <w:i w:val="0"/>
          <w:iCs w:val="0"/>
          <w:caps w:val="0"/>
          <w:color w:val="121212"/>
          <w:spacing w:val="0"/>
          <w:sz w:val="24"/>
          <w:szCs w:val="24"/>
        </w:rPr>
      </w:pPr>
      <w:r>
        <w:rPr>
          <w:rFonts w:hint="eastAsia" w:ascii="宋体" w:hAnsi="宋体" w:eastAsia="宋体" w:cs="宋体"/>
          <w:i w:val="0"/>
          <w:iCs w:val="0"/>
          <w:caps w:val="0"/>
          <w:color w:val="121212"/>
          <w:spacing w:val="0"/>
          <w:kern w:val="0"/>
          <w:sz w:val="24"/>
          <w:szCs w:val="24"/>
          <w:lang w:val="en-US" w:eastAsia="zh-CN" w:bidi="ar"/>
        </w:rPr>
        <w:t>鼻咽癌（NPC）是中国南方地区头颈癌患者中最常见的一种恶性肿瘤。鼻咽癌患者通常（约53-65%）因肿瘤侵犯颅底或者颅内组织而发生头痛。在局部进展期鼻咽癌患者中，头痛最常见的原因是肿瘤侵犯了结构，包括斜坡、蝶窦、颅底或咽旁软组织，神经受累可能导致或加重这些症状。破骨细胞介导的骨溶解性破坏已被证明有助于骨癌疼痛的发生，肿瘤和基质细胞来源的生长因子和细胞因子可进一步促进破骨细胞激活，从而形成恶性循环。</w:t>
      </w:r>
    </w:p>
    <w:p>
      <w:pPr>
        <w:keepNext w:val="0"/>
        <w:keepLines w:val="0"/>
        <w:widowControl/>
        <w:suppressLineNumbers w:val="0"/>
        <w:ind w:left="0" w:firstLine="480" w:firstLineChars="200"/>
        <w:jc w:val="left"/>
        <w:rPr>
          <w:rFonts w:hint="eastAsia" w:ascii="宋体" w:hAnsi="宋体" w:eastAsia="宋体" w:cs="宋体"/>
          <w:i w:val="0"/>
          <w:iCs w:val="0"/>
          <w:caps w:val="0"/>
          <w:color w:val="121212"/>
          <w:spacing w:val="0"/>
          <w:sz w:val="24"/>
          <w:szCs w:val="24"/>
        </w:rPr>
      </w:pPr>
      <w:r>
        <w:rPr>
          <w:rFonts w:hint="eastAsia" w:ascii="宋体" w:hAnsi="宋体" w:eastAsia="宋体" w:cs="宋体"/>
          <w:i w:val="0"/>
          <w:iCs w:val="0"/>
          <w:caps w:val="0"/>
          <w:color w:val="121212"/>
          <w:spacing w:val="0"/>
          <w:kern w:val="0"/>
          <w:sz w:val="24"/>
          <w:szCs w:val="24"/>
          <w:lang w:val="en-US" w:eastAsia="zh-CN" w:bidi="ar"/>
        </w:rPr>
        <w:t>局部进展期鼻咽癌患者常接收根治性同期放化疗，有效缓解头痛症状。但是，在最初诊断和开始放疗期间，通常有一段比较长的时间内，患者的疼痛尤其是头痛往往不能得到有效控制。严重的头痛会大大降低患者的生活质量，同时会降低患者对抗癌治疗的信心。大约有20%的鼻咽癌患者会出现全身镇痛药无法缓解的头痛，甚至患者会出现剧烈的疼痛。临床急需一种治疗方案或药物来治疗伴有阿片类耐受头痛的鼻咽癌患者。</w:t>
      </w:r>
    </w:p>
    <w:p>
      <w:pPr>
        <w:keepNext w:val="0"/>
        <w:keepLines w:val="0"/>
        <w:widowControl/>
        <w:suppressLineNumbers w:val="0"/>
        <w:ind w:left="0" w:firstLine="480" w:firstLineChars="200"/>
        <w:jc w:val="left"/>
        <w:rPr>
          <w:rFonts w:hint="eastAsia" w:ascii="宋体" w:hAnsi="宋体" w:eastAsia="宋体" w:cs="宋体"/>
          <w:i w:val="0"/>
          <w:iCs w:val="0"/>
          <w:caps w:val="0"/>
          <w:color w:val="121212"/>
          <w:spacing w:val="0"/>
          <w:kern w:val="0"/>
          <w:sz w:val="24"/>
          <w:szCs w:val="24"/>
          <w:lang w:val="en-US" w:eastAsia="zh-CN" w:bidi="ar"/>
        </w:rPr>
      </w:pPr>
      <w:r>
        <w:rPr>
          <w:rFonts w:hint="eastAsia" w:ascii="宋体" w:hAnsi="宋体" w:eastAsia="宋体" w:cs="宋体"/>
          <w:i w:val="0"/>
          <w:iCs w:val="0"/>
          <w:caps w:val="0"/>
          <w:color w:val="121212"/>
          <w:spacing w:val="0"/>
          <w:kern w:val="0"/>
          <w:sz w:val="24"/>
          <w:szCs w:val="24"/>
          <w:lang w:val="en-US" w:eastAsia="zh-CN" w:bidi="ar"/>
        </w:rPr>
        <w:t>破骨细胞促进骨吸收和相关的神经损伤是肿瘤患者出现骨痛的主要原因。骨肿瘤相关疼痛通常选择双膦酸盐类药物治疗。双膦酸盐类药物可抑制骨吸收和提高骨密度。尤其第三代双膦酸盐-伊班膦酸钠注射液已发现能明显减轻骨痛、减少骨相关事件（SREs）的发生，提高肿瘤患者生活质量。</w:t>
      </w:r>
    </w:p>
    <w:p>
      <w:pPr>
        <w:keepNext w:val="0"/>
        <w:keepLines w:val="0"/>
        <w:widowControl/>
        <w:suppressLineNumbers w:val="0"/>
        <w:ind w:left="0" w:firstLine="480" w:firstLineChars="200"/>
        <w:jc w:val="left"/>
        <w:rPr>
          <w:rFonts w:hint="eastAsia" w:ascii="宋体" w:hAnsi="宋体" w:eastAsia="宋体" w:cs="宋体"/>
          <w:i w:val="0"/>
          <w:iCs w:val="0"/>
          <w:caps w:val="0"/>
          <w:color w:val="121212"/>
          <w:spacing w:val="0"/>
          <w:kern w:val="0"/>
          <w:sz w:val="24"/>
          <w:szCs w:val="24"/>
          <w:lang w:val="en-US" w:eastAsia="zh-CN" w:bidi="ar"/>
        </w:rPr>
      </w:pPr>
      <w:r>
        <w:rPr>
          <w:rFonts w:hint="eastAsia" w:ascii="宋体" w:hAnsi="宋体" w:eastAsia="宋体" w:cs="宋体"/>
          <w:i w:val="0"/>
          <w:iCs w:val="0"/>
          <w:caps w:val="0"/>
          <w:color w:val="121212"/>
          <w:spacing w:val="0"/>
          <w:kern w:val="0"/>
          <w:sz w:val="24"/>
          <w:szCs w:val="24"/>
          <w:lang w:val="en-US" w:eastAsia="zh-CN" w:bidi="ar"/>
        </w:rPr>
        <w:t>双膦酸盐是焦磷酸盐分子的稳定类似物，可以抑制破骨细胞成熟、抑制成熟破骨细胞的功能、抑制破骨细胞在骨质吸收部位的聚集，并且可抑制肿瘤细胞扩散、浸润和黏附于骨基质。双膦酸盐能抑制破骨细胞对骨小梁的溶解和破坏，阻止肿瘤转移引起的溶骨性病变、减轻骨吸收、骨痛及骨转移所致的高钙血症等骨相关事件。</w:t>
      </w:r>
    </w:p>
    <w:p>
      <w:pPr>
        <w:keepNext w:val="0"/>
        <w:keepLines w:val="0"/>
        <w:widowControl/>
        <w:suppressLineNumbers w:val="0"/>
        <w:ind w:left="0" w:firstLine="480" w:firstLineChars="200"/>
        <w:jc w:val="left"/>
        <w:rPr>
          <w:rFonts w:hint="eastAsia" w:ascii="宋体" w:hAnsi="宋体" w:eastAsia="宋体" w:cs="宋体"/>
        </w:rPr>
      </w:pPr>
      <w:r>
        <w:rPr>
          <w:rFonts w:hint="eastAsia" w:ascii="宋体" w:hAnsi="宋体" w:eastAsia="宋体" w:cs="宋体"/>
          <w:i w:val="0"/>
          <w:iCs w:val="0"/>
          <w:caps w:val="0"/>
          <w:color w:val="121212"/>
          <w:spacing w:val="0"/>
          <w:sz w:val="24"/>
          <w:szCs w:val="24"/>
        </w:rPr>
        <w:t>伊班膦酸钠肾脏毒性与安慰剂相似，不易引起类似唑来膦酸和帕米膦酸等双膦酸盐可能引起的累积剂量肾毒性。在恶性肿瘤骨转移中，伊班膦酸钠注射液连续3天负荷剂量使用可快速缓解骨转移引起的中重度骨痛。即便是阿片类药物耐受的情况下，伊班膦酸钠负荷剂量使用仍可有效缓解骨痛。</w:t>
      </w:r>
    </w:p>
    <w:p>
      <w:pPr>
        <w:pStyle w:val="2"/>
        <w:keepNext w:val="0"/>
        <w:keepLines w:val="0"/>
        <w:widowControl/>
        <w:suppressLineNumbers w:val="0"/>
        <w:spacing w:before="360" w:beforeAutospacing="0" w:after="360" w:afterAutospacing="0"/>
        <w:ind w:left="0" w:right="0" w:firstLine="480" w:firstLineChars="200"/>
        <w:jc w:val="left"/>
        <w:rPr>
          <w:rFonts w:hint="eastAsia" w:ascii="宋体" w:hAnsi="宋体" w:eastAsia="宋体" w:cs="宋体"/>
        </w:rPr>
      </w:pPr>
      <w:r>
        <w:rPr>
          <w:rFonts w:hint="eastAsia" w:ascii="宋体" w:hAnsi="宋体" w:eastAsia="宋体" w:cs="宋体"/>
          <w:i w:val="0"/>
          <w:iCs w:val="0"/>
          <w:caps w:val="0"/>
          <w:color w:val="121212"/>
          <w:spacing w:val="0"/>
          <w:sz w:val="24"/>
          <w:szCs w:val="24"/>
        </w:rPr>
        <w:t xml:space="preserve">参考文献： </w:t>
      </w:r>
    </w:p>
    <w:p>
      <w:pPr>
        <w:keepNext w:val="0"/>
        <w:keepLines w:val="0"/>
        <w:widowControl/>
        <w:suppressLineNumbers w:val="0"/>
        <w:ind w:left="0" w:firstLine="480" w:firstLineChars="200"/>
        <w:jc w:val="left"/>
        <w:rPr>
          <w:rFonts w:hint="eastAsia" w:ascii="宋体" w:hAnsi="宋体" w:eastAsia="宋体" w:cs="宋体"/>
          <w:i w:val="0"/>
          <w:iCs w:val="0"/>
          <w:caps w:val="0"/>
          <w:color w:val="121212"/>
          <w:spacing w:val="0"/>
          <w:sz w:val="24"/>
          <w:szCs w:val="24"/>
        </w:rPr>
      </w:pPr>
      <w:r>
        <w:rPr>
          <w:rFonts w:hint="eastAsia" w:ascii="宋体" w:hAnsi="宋体" w:eastAsia="宋体" w:cs="宋体"/>
          <w:i w:val="0"/>
          <w:iCs w:val="0"/>
          <w:caps w:val="0"/>
          <w:color w:val="121212"/>
          <w:spacing w:val="0"/>
          <w:kern w:val="0"/>
          <w:sz w:val="24"/>
          <w:szCs w:val="24"/>
          <w:lang w:val="en-US" w:eastAsia="zh-CN" w:bidi="ar"/>
        </w:rPr>
        <w:t>1、Int J Clin Exp Med 2020;13(7):5092-5099                      </w:t>
      </w:r>
    </w:p>
    <w:p>
      <w:pPr>
        <w:keepNext w:val="0"/>
        <w:keepLines w:val="0"/>
        <w:widowControl/>
        <w:suppressLineNumbers w:val="0"/>
        <w:ind w:left="0" w:firstLine="480" w:firstLineChars="200"/>
        <w:jc w:val="left"/>
        <w:rPr>
          <w:rFonts w:hint="eastAsia" w:ascii="宋体" w:hAnsi="宋体" w:eastAsia="宋体" w:cs="宋体"/>
          <w:i w:val="0"/>
          <w:iCs w:val="0"/>
          <w:caps w:val="0"/>
          <w:color w:val="121212"/>
          <w:spacing w:val="0"/>
          <w:sz w:val="24"/>
          <w:szCs w:val="24"/>
        </w:rPr>
      </w:pPr>
      <w:r>
        <w:rPr>
          <w:rFonts w:hint="eastAsia" w:ascii="宋体" w:hAnsi="宋体" w:eastAsia="宋体" w:cs="宋体"/>
          <w:i w:val="0"/>
          <w:iCs w:val="0"/>
          <w:caps w:val="0"/>
          <w:color w:val="121212"/>
          <w:spacing w:val="0"/>
          <w:kern w:val="0"/>
          <w:sz w:val="24"/>
          <w:szCs w:val="24"/>
          <w:lang w:val="en-US" w:eastAsia="zh-CN" w:bidi="ar"/>
        </w:rPr>
        <w:t>2、产品说明书</w:t>
      </w:r>
    </w:p>
    <w:p>
      <w:pPr>
        <w:pStyle w:val="2"/>
        <w:keepNext w:val="0"/>
        <w:keepLines w:val="0"/>
        <w:widowControl/>
        <w:suppressLineNumbers w:val="0"/>
        <w:spacing w:before="360" w:beforeAutospacing="0" w:after="360" w:afterAutospacing="0"/>
        <w:ind w:left="0" w:right="0" w:firstLine="482" w:firstLineChars="200"/>
        <w:jc w:val="left"/>
        <w:rPr>
          <w:rFonts w:hint="eastAsia" w:ascii="宋体" w:hAnsi="宋体" w:eastAsia="宋体" w:cs="宋体"/>
        </w:rPr>
      </w:pPr>
      <w:r>
        <w:rPr>
          <w:rStyle w:val="5"/>
          <w:rFonts w:hint="eastAsia" w:ascii="宋体" w:hAnsi="宋体" w:eastAsia="宋体" w:cs="宋体"/>
          <w:b/>
          <w:bCs/>
          <w:i w:val="0"/>
          <w:iCs w:val="0"/>
          <w:caps w:val="0"/>
          <w:color w:val="121212"/>
          <w:spacing w:val="0"/>
          <w:sz w:val="24"/>
          <w:szCs w:val="24"/>
        </w:rPr>
        <w:t>乳腺癌骨转移</w:t>
      </w:r>
    </w:p>
    <w:p>
      <w:pPr>
        <w:pStyle w:val="2"/>
        <w:keepNext w:val="0"/>
        <w:keepLines w:val="0"/>
        <w:widowControl/>
        <w:suppressLineNumbers w:val="0"/>
        <w:spacing w:before="360" w:beforeAutospacing="0" w:after="360" w:afterAutospacing="0"/>
        <w:ind w:left="0" w:right="0" w:firstLine="480" w:firstLineChars="200"/>
        <w:jc w:val="left"/>
        <w:rPr>
          <w:rFonts w:hint="eastAsia" w:ascii="宋体" w:hAnsi="宋体" w:eastAsia="宋体" w:cs="宋体"/>
        </w:rPr>
      </w:pPr>
      <w:r>
        <w:rPr>
          <w:rFonts w:hint="eastAsia" w:ascii="宋体" w:hAnsi="宋体" w:eastAsia="宋体" w:cs="宋体"/>
          <w:i w:val="0"/>
          <w:iCs w:val="0"/>
          <w:caps w:val="0"/>
          <w:color w:val="121212"/>
          <w:spacing w:val="0"/>
          <w:sz w:val="24"/>
          <w:szCs w:val="24"/>
        </w:rPr>
        <w:t>骨骼是乳腺癌最常见的远处转移部位，晚期乳腺癌骨转移的发生率为65-75%，而首发症状为骨转移者占27-50%。研究发现激素受体阳性型乳腺癌更易发生骨转移。</w:t>
      </w:r>
    </w:p>
    <w:p>
      <w:pPr>
        <w:pStyle w:val="2"/>
        <w:keepNext w:val="0"/>
        <w:keepLines w:val="0"/>
        <w:widowControl/>
        <w:suppressLineNumbers w:val="0"/>
        <w:spacing w:before="360" w:beforeAutospacing="0" w:after="360" w:afterAutospacing="0"/>
        <w:ind w:left="0" w:right="0" w:firstLine="480" w:firstLineChars="200"/>
        <w:jc w:val="left"/>
        <w:rPr>
          <w:rFonts w:hint="eastAsia" w:ascii="宋体" w:hAnsi="宋体" w:eastAsia="宋体" w:cs="宋体"/>
        </w:rPr>
      </w:pPr>
      <w:r>
        <w:rPr>
          <w:rFonts w:hint="eastAsia" w:ascii="宋体" w:hAnsi="宋体" w:eastAsia="宋体" w:cs="宋体"/>
          <w:i w:val="0"/>
          <w:iCs w:val="0"/>
          <w:caps w:val="0"/>
          <w:color w:val="121212"/>
          <w:spacing w:val="0"/>
          <w:sz w:val="24"/>
          <w:szCs w:val="24"/>
        </w:rPr>
        <w:t>乳腺癌骨转移在临床上多表现为单发或多发的溶骨性病变，少数患者表现为溶骨成骨混合性病变。骨转移灶形成的软组织包块可对周围重要神经血管形成压迫，导致肢体局部功能丧失。骨痛、病理性骨折、脊髓压迫及高钙血症等骨相关事件（SREs）的出现，严重影响患者的自主活动能力及生存质量。</w:t>
      </w:r>
    </w:p>
    <w:p>
      <w:pPr>
        <w:keepNext w:val="0"/>
        <w:keepLines w:val="0"/>
        <w:widowControl/>
        <w:suppressLineNumbers w:val="0"/>
        <w:ind w:left="0" w:firstLine="480" w:firstLineChars="200"/>
        <w:jc w:val="left"/>
        <w:rPr>
          <w:rFonts w:hint="eastAsia" w:ascii="宋体" w:hAnsi="宋体" w:eastAsia="宋体" w:cs="宋体"/>
          <w:i w:val="0"/>
          <w:iCs w:val="0"/>
          <w:caps w:val="0"/>
          <w:color w:val="121212"/>
          <w:spacing w:val="0"/>
          <w:sz w:val="24"/>
          <w:szCs w:val="24"/>
        </w:rPr>
      </w:pPr>
      <w:r>
        <w:rPr>
          <w:rFonts w:hint="eastAsia" w:ascii="宋体" w:hAnsi="宋体" w:eastAsia="宋体" w:cs="宋体"/>
          <w:i w:val="0"/>
          <w:iCs w:val="0"/>
          <w:caps w:val="0"/>
          <w:color w:val="121212"/>
          <w:spacing w:val="0"/>
          <w:kern w:val="0"/>
          <w:sz w:val="24"/>
          <w:szCs w:val="24"/>
          <w:lang w:val="en-US" w:eastAsia="zh-CN" w:bidi="ar"/>
        </w:rPr>
        <w:t>★基本原则：</w:t>
      </w:r>
    </w:p>
    <w:p>
      <w:pPr>
        <w:pStyle w:val="2"/>
        <w:keepNext w:val="0"/>
        <w:keepLines w:val="0"/>
        <w:widowControl/>
        <w:suppressLineNumbers w:val="0"/>
        <w:spacing w:before="360" w:beforeAutospacing="0" w:after="360" w:afterAutospacing="0"/>
        <w:ind w:left="0" w:right="0" w:firstLine="480" w:firstLineChars="200"/>
        <w:jc w:val="left"/>
        <w:rPr>
          <w:rFonts w:hint="eastAsia" w:ascii="宋体" w:hAnsi="宋体" w:eastAsia="宋体" w:cs="宋体"/>
        </w:rPr>
      </w:pPr>
      <w:r>
        <w:rPr>
          <w:rFonts w:hint="eastAsia" w:ascii="宋体" w:hAnsi="宋体" w:eastAsia="宋体" w:cs="宋体"/>
          <w:i w:val="0"/>
          <w:iCs w:val="0"/>
          <w:caps w:val="0"/>
          <w:color w:val="121212"/>
          <w:spacing w:val="0"/>
          <w:sz w:val="24"/>
          <w:szCs w:val="24"/>
        </w:rPr>
        <w:t>①骨转移的疗效评价</w:t>
      </w:r>
    </w:p>
    <w:p>
      <w:pPr>
        <w:keepNext w:val="0"/>
        <w:keepLines w:val="0"/>
        <w:widowControl/>
        <w:suppressLineNumbers w:val="0"/>
        <w:ind w:left="0" w:firstLine="480" w:firstLineChars="200"/>
        <w:jc w:val="left"/>
        <w:rPr>
          <w:rFonts w:hint="eastAsia" w:ascii="宋体" w:hAnsi="宋体" w:eastAsia="宋体" w:cs="宋体"/>
          <w:i w:val="0"/>
          <w:iCs w:val="0"/>
          <w:caps w:val="0"/>
          <w:color w:val="121212"/>
          <w:spacing w:val="0"/>
          <w:sz w:val="24"/>
          <w:szCs w:val="24"/>
        </w:rPr>
      </w:pPr>
      <w:r>
        <w:rPr>
          <w:rFonts w:hint="eastAsia" w:ascii="宋体" w:hAnsi="宋体" w:eastAsia="宋体" w:cs="宋体"/>
          <w:i w:val="0"/>
          <w:iCs w:val="0"/>
          <w:caps w:val="0"/>
          <w:color w:val="121212"/>
          <w:spacing w:val="0"/>
          <w:kern w:val="0"/>
          <w:sz w:val="24"/>
          <w:szCs w:val="24"/>
          <w:lang w:val="en-US" w:eastAsia="zh-CN" w:bidi="ar"/>
        </w:rPr>
        <w:t>需要结合患者症状、肿瘤标记物和影像学改变等综合分析，根据分类治疗原则决定全身抗肿瘤药物治疗；</w:t>
      </w:r>
    </w:p>
    <w:p>
      <w:pPr>
        <w:pStyle w:val="2"/>
        <w:keepNext w:val="0"/>
        <w:keepLines w:val="0"/>
        <w:widowControl/>
        <w:suppressLineNumbers w:val="0"/>
        <w:spacing w:before="360" w:beforeAutospacing="0" w:after="360" w:afterAutospacing="0"/>
        <w:ind w:left="0" w:right="0" w:firstLine="480" w:firstLineChars="200"/>
        <w:jc w:val="left"/>
        <w:rPr>
          <w:rFonts w:hint="eastAsia" w:ascii="宋体" w:hAnsi="宋体" w:eastAsia="宋体" w:cs="宋体"/>
        </w:rPr>
      </w:pPr>
      <w:r>
        <w:rPr>
          <w:rFonts w:hint="eastAsia" w:ascii="宋体" w:hAnsi="宋体" w:eastAsia="宋体" w:cs="宋体"/>
          <w:i w:val="0"/>
          <w:iCs w:val="0"/>
          <w:caps w:val="0"/>
          <w:color w:val="121212"/>
          <w:spacing w:val="0"/>
          <w:sz w:val="24"/>
          <w:szCs w:val="24"/>
        </w:rPr>
        <w:t>②合理使用骨改良药物</w:t>
      </w:r>
    </w:p>
    <w:p>
      <w:pPr>
        <w:pStyle w:val="2"/>
        <w:keepNext w:val="0"/>
        <w:keepLines w:val="0"/>
        <w:widowControl/>
        <w:suppressLineNumbers w:val="0"/>
        <w:spacing w:before="360" w:beforeAutospacing="0" w:after="360" w:afterAutospacing="0"/>
        <w:ind w:left="0" w:right="0" w:firstLine="480" w:firstLineChars="200"/>
        <w:jc w:val="left"/>
        <w:rPr>
          <w:rFonts w:hint="eastAsia" w:ascii="宋体" w:hAnsi="宋体" w:eastAsia="宋体" w:cs="宋体"/>
        </w:rPr>
      </w:pPr>
      <w:r>
        <w:rPr>
          <w:rFonts w:hint="eastAsia" w:ascii="宋体" w:hAnsi="宋体" w:eastAsia="宋体" w:cs="宋体"/>
          <w:i w:val="0"/>
          <w:iCs w:val="0"/>
          <w:caps w:val="0"/>
          <w:color w:val="121212"/>
          <w:spacing w:val="0"/>
          <w:sz w:val="24"/>
          <w:szCs w:val="24"/>
        </w:rPr>
        <w:t>唑来膦酸、伊班膦酸、地舒单抗等</w:t>
      </w:r>
    </w:p>
    <w:p>
      <w:pPr>
        <w:pStyle w:val="2"/>
        <w:keepNext w:val="0"/>
        <w:keepLines w:val="0"/>
        <w:widowControl/>
        <w:suppressLineNumbers w:val="0"/>
        <w:spacing w:before="360" w:beforeAutospacing="0" w:after="360" w:afterAutospacing="0"/>
        <w:ind w:left="0" w:right="0" w:firstLine="480" w:firstLineChars="200"/>
        <w:jc w:val="left"/>
        <w:rPr>
          <w:rFonts w:hint="eastAsia" w:ascii="宋体" w:hAnsi="宋体" w:eastAsia="宋体" w:cs="宋体"/>
        </w:rPr>
      </w:pPr>
      <w:r>
        <w:rPr>
          <w:rFonts w:hint="eastAsia" w:ascii="宋体" w:hAnsi="宋体" w:eastAsia="宋体" w:cs="宋体"/>
          <w:i w:val="0"/>
          <w:iCs w:val="0"/>
          <w:caps w:val="0"/>
          <w:color w:val="121212"/>
          <w:spacing w:val="0"/>
          <w:sz w:val="24"/>
          <w:szCs w:val="24"/>
        </w:rPr>
        <w:t>③手术治疗</w:t>
      </w:r>
    </w:p>
    <w:p>
      <w:pPr>
        <w:pStyle w:val="2"/>
        <w:keepNext w:val="0"/>
        <w:keepLines w:val="0"/>
        <w:widowControl/>
        <w:suppressLineNumbers w:val="0"/>
        <w:spacing w:before="360" w:beforeAutospacing="0" w:after="360" w:afterAutospacing="0"/>
        <w:ind w:left="0" w:right="0" w:firstLine="480" w:firstLineChars="200"/>
        <w:jc w:val="left"/>
        <w:rPr>
          <w:rFonts w:hint="eastAsia" w:ascii="宋体" w:hAnsi="宋体" w:eastAsia="宋体" w:cs="宋体"/>
        </w:rPr>
      </w:pPr>
      <w:r>
        <w:rPr>
          <w:rFonts w:hint="eastAsia" w:ascii="宋体" w:hAnsi="宋体" w:eastAsia="宋体" w:cs="宋体"/>
          <w:i w:val="0"/>
          <w:iCs w:val="0"/>
          <w:caps w:val="0"/>
          <w:color w:val="121212"/>
          <w:spacing w:val="0"/>
          <w:sz w:val="24"/>
          <w:szCs w:val="24"/>
        </w:rPr>
        <w:t>④局部放疗</w:t>
      </w:r>
    </w:p>
    <w:p>
      <w:pPr>
        <w:pStyle w:val="2"/>
        <w:keepNext w:val="0"/>
        <w:keepLines w:val="0"/>
        <w:widowControl/>
        <w:suppressLineNumbers w:val="0"/>
        <w:spacing w:before="360" w:beforeAutospacing="0" w:after="150" w:afterAutospacing="0"/>
        <w:ind w:left="0" w:right="0" w:firstLine="480" w:firstLineChars="200"/>
        <w:jc w:val="left"/>
        <w:rPr>
          <w:rFonts w:hint="eastAsia" w:ascii="宋体" w:hAnsi="宋体" w:eastAsia="宋体" w:cs="宋体"/>
        </w:rPr>
      </w:pPr>
      <w:r>
        <w:rPr>
          <w:rFonts w:hint="eastAsia" w:ascii="宋体" w:hAnsi="宋体" w:eastAsia="宋体" w:cs="宋体"/>
          <w:i w:val="0"/>
          <w:iCs w:val="0"/>
          <w:caps w:val="0"/>
          <w:color w:val="121212"/>
          <w:spacing w:val="0"/>
          <w:sz w:val="24"/>
          <w:szCs w:val="24"/>
        </w:rPr>
        <w:drawing>
          <wp:inline distT="0" distB="0" distL="114300" distR="114300">
            <wp:extent cx="5356860" cy="3058160"/>
            <wp:effectExtent l="0" t="0" r="15240" b="889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4"/>
                    <a:stretch>
                      <a:fillRect/>
                    </a:stretch>
                  </pic:blipFill>
                  <pic:spPr>
                    <a:xfrm>
                      <a:off x="0" y="0"/>
                      <a:ext cx="5356860" cy="3058160"/>
                    </a:xfrm>
                    <a:prstGeom prst="rect">
                      <a:avLst/>
                    </a:prstGeom>
                    <a:noFill/>
                    <a:ln w="9525">
                      <a:noFill/>
                    </a:ln>
                  </pic:spPr>
                </pic:pic>
              </a:graphicData>
            </a:graphic>
          </wp:inline>
        </w:drawing>
      </w:r>
      <w:r>
        <w:rPr>
          <w:rFonts w:hint="eastAsia" w:ascii="宋体" w:hAnsi="宋体" w:eastAsia="宋体" w:cs="宋体"/>
          <w:i w:val="0"/>
          <w:iCs w:val="0"/>
          <w:caps w:val="0"/>
          <w:color w:val="FFFFFF"/>
          <w:spacing w:val="0"/>
          <w:sz w:val="18"/>
          <w:szCs w:val="18"/>
        </w:rPr>
        <w:t>编辑搜图</w:t>
      </w:r>
    </w:p>
    <w:p>
      <w:pPr>
        <w:pStyle w:val="2"/>
        <w:keepNext w:val="0"/>
        <w:keepLines w:val="0"/>
        <w:widowControl/>
        <w:suppressLineNumbers w:val="0"/>
        <w:spacing w:before="0" w:beforeAutospacing="0" w:after="0" w:afterAutospacing="0"/>
        <w:ind w:left="0" w:right="0" w:firstLine="420" w:firstLineChars="200"/>
        <w:jc w:val="left"/>
        <w:rPr>
          <w:rFonts w:hint="eastAsia" w:ascii="宋体" w:hAnsi="宋体" w:eastAsia="宋体" w:cs="宋体"/>
          <w:color w:val="989898"/>
          <w:sz w:val="21"/>
          <w:szCs w:val="21"/>
        </w:rPr>
      </w:pPr>
      <w:r>
        <w:rPr>
          <w:rFonts w:hint="eastAsia" w:ascii="宋体" w:hAnsi="宋体" w:eastAsia="宋体" w:cs="宋体"/>
          <w:i w:val="0"/>
          <w:iCs w:val="0"/>
          <w:caps w:val="0"/>
          <w:color w:val="121212"/>
          <w:spacing w:val="0"/>
          <w:sz w:val="21"/>
          <w:szCs w:val="21"/>
        </w:rPr>
        <w:t>综合治疗方案（如图）</w:t>
      </w:r>
    </w:p>
    <w:p>
      <w:pPr>
        <w:pStyle w:val="2"/>
        <w:keepNext w:val="0"/>
        <w:keepLines w:val="0"/>
        <w:widowControl/>
        <w:suppressLineNumbers w:val="0"/>
        <w:spacing w:before="360" w:beforeAutospacing="0" w:after="150" w:afterAutospacing="0"/>
        <w:ind w:left="0" w:right="0" w:firstLine="480" w:firstLineChars="200"/>
        <w:jc w:val="left"/>
        <w:rPr>
          <w:rFonts w:hint="eastAsia" w:ascii="宋体" w:hAnsi="宋体" w:eastAsia="宋体" w:cs="宋体"/>
        </w:rPr>
      </w:pPr>
      <w:r>
        <w:rPr>
          <w:rFonts w:hint="eastAsia" w:ascii="宋体" w:hAnsi="宋体" w:eastAsia="宋体" w:cs="宋体"/>
          <w:i w:val="0"/>
          <w:iCs w:val="0"/>
          <w:caps w:val="0"/>
          <w:color w:val="121212"/>
          <w:spacing w:val="0"/>
          <w:sz w:val="24"/>
          <w:szCs w:val="24"/>
        </w:rPr>
        <w:drawing>
          <wp:inline distT="0" distB="0" distL="114300" distR="114300">
            <wp:extent cx="5327015" cy="2471420"/>
            <wp:effectExtent l="0" t="0" r="6985" b="508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5327015" cy="2471420"/>
                    </a:xfrm>
                    <a:prstGeom prst="rect">
                      <a:avLst/>
                    </a:prstGeom>
                    <a:noFill/>
                    <a:ln w="9525">
                      <a:noFill/>
                    </a:ln>
                  </pic:spPr>
                </pic:pic>
              </a:graphicData>
            </a:graphic>
          </wp:inline>
        </w:drawing>
      </w:r>
      <w:r>
        <w:rPr>
          <w:rFonts w:hint="eastAsia" w:ascii="宋体" w:hAnsi="宋体" w:eastAsia="宋体" w:cs="宋体"/>
          <w:i w:val="0"/>
          <w:iCs w:val="0"/>
          <w:caps w:val="0"/>
          <w:color w:val="FFFFFF"/>
          <w:spacing w:val="0"/>
          <w:sz w:val="18"/>
          <w:szCs w:val="18"/>
        </w:rPr>
        <w:t>编辑搜图</w:t>
      </w:r>
    </w:p>
    <w:p>
      <w:pPr>
        <w:pStyle w:val="2"/>
        <w:keepNext w:val="0"/>
        <w:keepLines w:val="0"/>
        <w:widowControl/>
        <w:suppressLineNumbers w:val="0"/>
        <w:spacing w:before="0" w:beforeAutospacing="0" w:after="0" w:afterAutospacing="0"/>
        <w:ind w:left="0" w:right="0" w:firstLine="420" w:firstLineChars="200"/>
        <w:jc w:val="left"/>
        <w:rPr>
          <w:rFonts w:hint="eastAsia" w:ascii="宋体" w:hAnsi="宋体" w:eastAsia="宋体" w:cs="宋体"/>
          <w:color w:val="989898"/>
          <w:sz w:val="21"/>
          <w:szCs w:val="21"/>
        </w:rPr>
      </w:pPr>
      <w:r>
        <w:rPr>
          <w:rFonts w:hint="eastAsia" w:ascii="宋体" w:hAnsi="宋体" w:eastAsia="宋体" w:cs="宋体"/>
          <w:i w:val="0"/>
          <w:iCs w:val="0"/>
          <w:caps w:val="0"/>
          <w:color w:val="121212"/>
          <w:spacing w:val="0"/>
          <w:sz w:val="21"/>
          <w:szCs w:val="21"/>
        </w:rPr>
        <w:t>骨改良药物推荐及用法用量</w:t>
      </w:r>
    </w:p>
    <w:p>
      <w:pPr>
        <w:pStyle w:val="2"/>
        <w:keepNext w:val="0"/>
        <w:keepLines w:val="0"/>
        <w:widowControl/>
        <w:suppressLineNumbers w:val="0"/>
        <w:spacing w:before="360" w:beforeAutospacing="0" w:after="360" w:afterAutospacing="0"/>
        <w:ind w:left="0" w:right="0" w:firstLine="480" w:firstLineChars="200"/>
        <w:jc w:val="left"/>
        <w:rPr>
          <w:rFonts w:hint="eastAsia" w:ascii="宋体" w:hAnsi="宋体" w:eastAsia="宋体" w:cs="宋体"/>
          <w:i w:val="0"/>
          <w:iCs w:val="0"/>
          <w:caps w:val="0"/>
          <w:color w:val="121212"/>
          <w:spacing w:val="0"/>
          <w:sz w:val="24"/>
          <w:szCs w:val="24"/>
        </w:rPr>
      </w:pPr>
      <w:r>
        <w:rPr>
          <w:rFonts w:hint="eastAsia" w:ascii="宋体" w:hAnsi="宋体" w:eastAsia="宋体" w:cs="宋体"/>
          <w:i w:val="0"/>
          <w:iCs w:val="0"/>
          <w:caps w:val="0"/>
          <w:color w:val="121212"/>
          <w:spacing w:val="0"/>
          <w:sz w:val="24"/>
          <w:szCs w:val="24"/>
        </w:rPr>
        <w:t>双膦酸盐类药物按照分子结构侧链的不同来分代，伊班膦酸和唑来膦酸同为第三代双膦酸盐，其中伊班膦酸钠指南推荐连续3天负荷剂量使用，可快速缓解伴有严重疼痛的转移性骨痛。</w:t>
      </w:r>
    </w:p>
    <w:p>
      <w:pPr>
        <w:pStyle w:val="2"/>
        <w:keepNext w:val="0"/>
        <w:keepLines w:val="0"/>
        <w:widowControl/>
        <w:suppressLineNumbers w:val="0"/>
        <w:spacing w:before="360" w:beforeAutospacing="0" w:after="360" w:afterAutospacing="0"/>
        <w:ind w:left="0" w:right="0" w:firstLine="480" w:firstLineChars="200"/>
        <w:jc w:val="left"/>
        <w:rPr>
          <w:rFonts w:hint="eastAsia" w:ascii="宋体" w:hAnsi="宋体" w:eastAsia="宋体" w:cs="宋体"/>
          <w:i w:val="0"/>
          <w:iCs w:val="0"/>
          <w:caps w:val="0"/>
          <w:color w:val="121212"/>
          <w:spacing w:val="0"/>
          <w:sz w:val="24"/>
          <w:szCs w:val="24"/>
        </w:rPr>
      </w:pPr>
      <w:r>
        <w:rPr>
          <w:rFonts w:hint="eastAsia" w:ascii="宋体" w:hAnsi="宋体" w:eastAsia="宋体" w:cs="宋体"/>
          <w:i w:val="0"/>
          <w:iCs w:val="0"/>
          <w:caps w:val="0"/>
          <w:color w:val="121212"/>
          <w:spacing w:val="0"/>
          <w:kern w:val="0"/>
          <w:sz w:val="24"/>
          <w:szCs w:val="24"/>
          <w:lang w:val="en-US" w:eastAsia="zh-CN" w:bidi="ar"/>
        </w:rPr>
        <w:t>伊班膦酸钠侧链为饱和烃链，其分子空间结构相对较小，肾脏安全性优于其它静脉用双膦酸盐。临床研究显示：伊班膦酸钠注射液连续3天、6mg/天负荷剂量使用与伊班膦酸钠注射液6mg/次常规剂量使用时，监测肾功能（如尿素氮、尿酸、肌酐等）及尿常规，发现两组患者均未出现明显肾脏毒性。</w:t>
      </w:r>
    </w:p>
    <w:p>
      <w:pPr>
        <w:keepNext w:val="0"/>
        <w:keepLines w:val="0"/>
        <w:widowControl/>
        <w:suppressLineNumbers w:val="0"/>
        <w:ind w:left="0" w:firstLine="480" w:firstLineChars="200"/>
        <w:jc w:val="left"/>
        <w:rPr>
          <w:rFonts w:hint="eastAsia" w:ascii="宋体" w:hAnsi="宋体" w:eastAsia="宋体" w:cs="宋体"/>
          <w:i w:val="0"/>
          <w:iCs w:val="0"/>
          <w:caps w:val="0"/>
          <w:color w:val="121212"/>
          <w:spacing w:val="0"/>
          <w:sz w:val="24"/>
          <w:szCs w:val="24"/>
        </w:rPr>
      </w:pPr>
      <w:r>
        <w:rPr>
          <w:rFonts w:hint="eastAsia" w:ascii="宋体" w:hAnsi="宋体" w:eastAsia="宋体" w:cs="宋体"/>
          <w:i w:val="0"/>
          <w:iCs w:val="0"/>
          <w:caps w:val="0"/>
          <w:color w:val="121212"/>
          <w:spacing w:val="0"/>
          <w:kern w:val="0"/>
          <w:sz w:val="24"/>
          <w:szCs w:val="24"/>
          <w:lang w:val="en-US" w:eastAsia="zh-CN" w:bidi="ar"/>
        </w:rPr>
        <w:t>伊班膦酸钠注射液连续3天负荷剂量用药方案已广泛应用于恶性肿瘤骨转移引起的严重骨痛，并被多个指南和专家共识推荐。</w:t>
      </w:r>
    </w:p>
    <w:p>
      <w:pPr>
        <w:pStyle w:val="2"/>
        <w:keepNext w:val="0"/>
        <w:keepLines w:val="0"/>
        <w:widowControl/>
        <w:suppressLineNumbers w:val="0"/>
        <w:spacing w:before="360" w:beforeAutospacing="0" w:after="360" w:afterAutospacing="0"/>
        <w:ind w:left="0" w:right="0" w:firstLine="480" w:firstLineChars="200"/>
        <w:jc w:val="left"/>
        <w:rPr>
          <w:rFonts w:hint="eastAsia" w:ascii="宋体" w:hAnsi="宋体" w:eastAsia="宋体" w:cs="宋体"/>
        </w:rPr>
      </w:pPr>
      <w:r>
        <w:rPr>
          <w:rFonts w:hint="eastAsia" w:ascii="宋体" w:hAnsi="宋体" w:eastAsia="宋体" w:cs="宋体"/>
          <w:i w:val="0"/>
          <w:iCs w:val="0"/>
          <w:caps w:val="0"/>
          <w:color w:val="121212"/>
          <w:spacing w:val="0"/>
          <w:sz w:val="24"/>
          <w:szCs w:val="24"/>
        </w:rPr>
        <w:t>伊班膦酸钠注射液连续3天负荷剂量使用能显著减轻骨痛，止痛起效快、维持时间长，并且可有效减少吗啡等阿片类药物的用量。同时，伊班膦酸钠注射液具备良好的安全性，连续3天负荷剂量使用时，并不会引起肾脏的毒性反应，是治疗乳腺癌骨转移引起的严重骨痛的一个新选择，可结合常规止痛治疗应用于临床。</w:t>
      </w:r>
    </w:p>
    <w:p>
      <w:pPr>
        <w:pStyle w:val="2"/>
        <w:keepNext w:val="0"/>
        <w:keepLines w:val="0"/>
        <w:widowControl/>
        <w:suppressLineNumbers w:val="0"/>
        <w:spacing w:before="360" w:beforeAutospacing="0" w:after="360" w:afterAutospacing="0"/>
        <w:ind w:left="0" w:right="0" w:firstLine="480" w:firstLineChars="200"/>
        <w:jc w:val="left"/>
        <w:rPr>
          <w:rFonts w:hint="eastAsia" w:ascii="宋体" w:hAnsi="宋体" w:eastAsia="宋体" w:cs="宋体"/>
        </w:rPr>
      </w:pPr>
      <w:r>
        <w:rPr>
          <w:rFonts w:hint="eastAsia" w:ascii="宋体" w:hAnsi="宋体" w:eastAsia="宋体" w:cs="宋体"/>
          <w:i w:val="0"/>
          <w:iCs w:val="0"/>
          <w:caps w:val="0"/>
          <w:color w:val="121212"/>
          <w:spacing w:val="0"/>
          <w:sz w:val="24"/>
          <w:szCs w:val="24"/>
        </w:rPr>
        <w:t>参考文献：</w:t>
      </w:r>
    </w:p>
    <w:p>
      <w:pPr>
        <w:keepNext w:val="0"/>
        <w:keepLines w:val="0"/>
        <w:widowControl/>
        <w:suppressLineNumbers w:val="0"/>
        <w:ind w:left="0" w:firstLine="480" w:firstLineChars="200"/>
        <w:jc w:val="left"/>
        <w:rPr>
          <w:rFonts w:hint="eastAsia" w:ascii="宋体" w:hAnsi="宋体" w:eastAsia="宋体" w:cs="宋体"/>
          <w:i w:val="0"/>
          <w:iCs w:val="0"/>
          <w:caps w:val="0"/>
          <w:color w:val="121212"/>
          <w:spacing w:val="0"/>
          <w:sz w:val="24"/>
          <w:szCs w:val="24"/>
        </w:rPr>
      </w:pPr>
      <w:r>
        <w:rPr>
          <w:rFonts w:hint="eastAsia" w:ascii="宋体" w:hAnsi="宋体" w:eastAsia="宋体" w:cs="宋体"/>
          <w:i w:val="0"/>
          <w:iCs w:val="0"/>
          <w:caps w:val="0"/>
          <w:color w:val="121212"/>
          <w:spacing w:val="0"/>
          <w:kern w:val="0"/>
          <w:sz w:val="24"/>
          <w:szCs w:val="24"/>
          <w:lang w:val="en-US" w:eastAsia="zh-CN" w:bidi="ar"/>
        </w:rPr>
        <w:t>1.《乳腺癌骨转移临床诊疗专家共识》 中国肿瘤临床2022年第49卷第13期.</w:t>
      </w:r>
    </w:p>
    <w:p>
      <w:pPr>
        <w:keepNext w:val="0"/>
        <w:keepLines w:val="0"/>
        <w:widowControl/>
        <w:suppressLineNumbers w:val="0"/>
        <w:ind w:left="0" w:firstLine="480" w:firstLineChars="200"/>
        <w:jc w:val="left"/>
        <w:rPr>
          <w:rFonts w:hint="eastAsia" w:ascii="宋体" w:hAnsi="宋体" w:eastAsia="宋体" w:cs="宋体"/>
          <w:i w:val="0"/>
          <w:iCs w:val="0"/>
          <w:caps w:val="0"/>
          <w:color w:val="121212"/>
          <w:spacing w:val="0"/>
          <w:sz w:val="24"/>
          <w:szCs w:val="24"/>
        </w:rPr>
      </w:pPr>
      <w:r>
        <w:rPr>
          <w:rFonts w:hint="eastAsia" w:ascii="宋体" w:hAnsi="宋体" w:eastAsia="宋体" w:cs="宋体"/>
          <w:i w:val="0"/>
          <w:iCs w:val="0"/>
          <w:caps w:val="0"/>
          <w:color w:val="121212"/>
          <w:spacing w:val="0"/>
          <w:kern w:val="0"/>
          <w:sz w:val="24"/>
          <w:szCs w:val="24"/>
          <w:lang w:val="en-US" w:eastAsia="zh-CN" w:bidi="ar"/>
        </w:rPr>
        <w:t>2.《中国抗癌协会乳腺癌诊治指南与规范》（2022精要版）.  </w:t>
      </w:r>
    </w:p>
    <w:p>
      <w:pPr>
        <w:keepNext w:val="0"/>
        <w:keepLines w:val="0"/>
        <w:widowControl/>
        <w:suppressLineNumbers w:val="0"/>
        <w:ind w:left="0" w:firstLine="480" w:firstLineChars="200"/>
        <w:jc w:val="left"/>
        <w:rPr>
          <w:rFonts w:hint="eastAsia" w:ascii="宋体" w:hAnsi="宋体" w:eastAsia="宋体" w:cs="宋体"/>
          <w:i w:val="0"/>
          <w:iCs w:val="0"/>
          <w:caps w:val="0"/>
          <w:color w:val="121212"/>
          <w:spacing w:val="0"/>
          <w:sz w:val="24"/>
          <w:szCs w:val="24"/>
        </w:rPr>
      </w:pPr>
      <w:r>
        <w:rPr>
          <w:rFonts w:hint="eastAsia" w:ascii="宋体" w:hAnsi="宋体" w:eastAsia="宋体" w:cs="宋体"/>
          <w:i w:val="0"/>
          <w:iCs w:val="0"/>
          <w:caps w:val="0"/>
          <w:color w:val="121212"/>
          <w:spacing w:val="0"/>
          <w:kern w:val="0"/>
          <w:sz w:val="24"/>
          <w:szCs w:val="24"/>
          <w:lang w:val="en-US" w:eastAsia="zh-CN" w:bidi="ar"/>
        </w:rPr>
        <w:t>3.《中国临床肿瘤学会（CSCO）乳腺癌诊疗指南》（2023） 人民卫生出版社.</w:t>
      </w:r>
    </w:p>
    <w:p>
      <w:pPr>
        <w:keepNext w:val="0"/>
        <w:keepLines w:val="0"/>
        <w:widowControl/>
        <w:suppressLineNumbers w:val="0"/>
        <w:ind w:left="0" w:firstLine="480" w:firstLineChars="200"/>
        <w:jc w:val="left"/>
        <w:rPr>
          <w:rFonts w:hint="eastAsia" w:ascii="宋体" w:hAnsi="宋体" w:eastAsia="宋体" w:cs="宋体"/>
        </w:rPr>
      </w:pPr>
      <w:r>
        <w:rPr>
          <w:rFonts w:hint="eastAsia" w:ascii="宋体" w:hAnsi="宋体" w:eastAsia="宋体" w:cs="宋体"/>
          <w:i w:val="0"/>
          <w:iCs w:val="0"/>
          <w:caps w:val="0"/>
          <w:color w:val="121212"/>
          <w:spacing w:val="0"/>
          <w:kern w:val="0"/>
          <w:sz w:val="24"/>
          <w:szCs w:val="24"/>
          <w:lang w:val="en-US" w:eastAsia="zh-CN" w:bidi="ar"/>
        </w:rPr>
        <w:t>4.《伊班膦酸治疗肺癌骨转移痛疗效及安全性分析》 现代肿瘤医学 2015年02月 第23卷第3期.​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Q0NDU4MDRlZjRjMTgyZDkwZWNlYTM3ZDllZmEyZjUifQ=="/>
  </w:docVars>
  <w:rsids>
    <w:rsidRoot w:val="4E6B0C84"/>
    <w:rsid w:val="4E6B0C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2023-08-18T02:48:00Z</dcterms:created>
  <dc:creator>220236</dc:creator>
  <cp:lastModifiedBy>220236</cp:lastModifiedBy>
  <dcterms:modified xsi:type="dcterms:W3CDTF">2023-08-18T02:53:52Z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766C3403081249CBAC20A5472B6C0BD5_11</vt:lpwstr>
  </property>
</Properties>
</file>