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4D44DE">
      <w:pPr>
        <w:pStyle w:val="167"/>
        <w:rPr>
          <w:lang w:eastAsia="zh-CN"/>
        </w:rPr>
      </w:pPr>
      <w:bookmarkStart w:id="0" w:name="OLE_LINK13"/>
      <w:bookmarkStart w:id="1" w:name="_Toc415818939"/>
      <w:bookmarkStart w:id="2" w:name="OLE_LINK15"/>
      <w:bookmarkStart w:id="3" w:name="_Toc517262917"/>
      <w:bookmarkStart w:id="4" w:name="_Toc481801204"/>
      <w:bookmarkStart w:id="5" w:name="_Toc438987549"/>
      <w:bookmarkStart w:id="6" w:name="_Toc415143481"/>
      <w:bookmarkStart w:id="7" w:name="OLE_LINK40"/>
      <w:bookmarkStart w:id="8" w:name="_Toc453597319"/>
      <w:bookmarkStart w:id="9" w:name="_Toc415142861"/>
      <w:bookmarkStart w:id="10" w:name="OLE_LINK39"/>
      <w:bookmarkStart w:id="11" w:name="OLE_LINK24"/>
      <w:bookmarkStart w:id="12" w:name="_Toc418070112"/>
      <w:r>
        <w:rPr>
          <w:rFonts w:hint="eastAsia"/>
          <w:lang w:eastAsia="zh-CN"/>
        </w:rPr>
        <w:t>一、</w:t>
      </w:r>
      <w:r>
        <w:rPr>
          <w:lang w:eastAsia="zh-CN"/>
        </w:rPr>
        <w:t>结构玻璃屋顶</w:t>
      </w:r>
      <w:r>
        <w:rPr>
          <w:rFonts w:hint="eastAsia"/>
          <w:lang w:eastAsia="zh-CN"/>
        </w:rPr>
        <w:t>全球市场总体规模</w:t>
      </w:r>
    </w:p>
    <w:p w14:paraId="0757D81C">
      <w:pPr>
        <w:pStyle w:val="145"/>
        <w:rPr>
          <w:lang w:val="en-US" w:eastAsia="zh-CN"/>
        </w:rPr>
      </w:pPr>
      <w:r>
        <w:rPr>
          <w:rFonts w:hint="eastAsia"/>
          <w:lang w:val="en-US" w:eastAsia="zh-CN"/>
        </w:rPr>
        <w:t>结构玻璃屋顶是一种将玻璃作为主要承重和围护结构的建筑屋顶系统，它通过金属连接件和支撑结构，将经过特殊工艺处理的高强度玻璃以平面或曲面形式精准装配，不仅能够实现大跨度、通透的采光效果，其玻璃面板本身也直接参与抵抗风雪、地震等荷载，是集建筑美学、结构力学与采光功能于一体的现代高端建筑外围护结构。</w:t>
      </w:r>
    </w:p>
    <w:p w14:paraId="500A6D62">
      <w:pPr>
        <w:pStyle w:val="145"/>
        <w:rPr>
          <w:lang w:val="en-US" w:eastAsia="zh-CN"/>
        </w:rPr>
      </w:pPr>
      <w:r>
        <w:rPr>
          <w:rFonts w:hint="eastAsia"/>
          <w:lang w:val="en-US" w:eastAsia="zh-CN"/>
        </w:rPr>
        <w:t>根据QYResearch最新调研报告显示，市场规模方面，预计2031年全球结构玻璃屋顶市场规模将达到670亿美元，未来几年年复合增长率CAGR为6.2%。</w:t>
      </w:r>
    </w:p>
    <w:p w14:paraId="3B131FD2">
      <w:pPr>
        <w:pStyle w:val="148"/>
        <w:rPr>
          <w:lang w:eastAsia="zh-CN"/>
        </w:rPr>
      </w:pPr>
      <w:r>
        <w:rPr>
          <w:lang w:eastAsia="zh-CN"/>
        </w:rPr>
        <w:t>结构玻璃屋顶</w:t>
      </w:r>
      <w:r>
        <w:rPr>
          <w:rFonts w:hint="eastAsia"/>
          <w:lang w:eastAsia="zh-CN"/>
        </w:rPr>
        <w:t>，全球市场收入增长率</w:t>
      </w:r>
    </w:p>
    <w:p w14:paraId="67B87F3F">
      <w:pPr>
        <w:pStyle w:val="145"/>
        <w:rPr>
          <w:lang w:val="en-US" w:eastAsia="zh-CN"/>
        </w:rPr>
      </w:pPr>
      <w:r>
        <w:drawing>
          <wp:inline distT="0" distB="0" distL="0" distR="0">
            <wp:extent cx="6188710" cy="2936875"/>
            <wp:effectExtent l="0" t="0" r="2540" b="0"/>
            <wp:docPr id="128862188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2BF68A6D">
      <w:pPr>
        <w:pStyle w:val="143"/>
        <w:rPr>
          <w:lang w:eastAsia="zh-CN"/>
        </w:rPr>
      </w:pPr>
      <w:r>
        <w:rPr>
          <w:rFonts w:hint="eastAsia"/>
          <w:lang w:eastAsia="zh-CN"/>
        </w:rPr>
        <w:t>如上图表/数据，摘自QYResearch最新报告“全球</w:t>
      </w:r>
      <w:r>
        <w:rPr>
          <w:lang w:eastAsia="zh-CN"/>
        </w:rPr>
        <w:t>结构玻璃屋顶</w:t>
      </w:r>
      <w:r>
        <w:rPr>
          <w:rFonts w:hint="eastAsia"/>
          <w:lang w:eastAsia="zh-CN"/>
        </w:rPr>
        <w:t>市场研究报告2025-2031</w:t>
      </w:r>
      <w:r>
        <w:rPr>
          <w:lang w:eastAsia="zh-CN"/>
        </w:rPr>
        <w:t>.</w:t>
      </w:r>
      <w:r>
        <w:rPr>
          <w:lang w:eastAsia="zh-CN"/>
        </w:rPr>
        <w:br w:type="textWrapping"/>
      </w:r>
    </w:p>
    <w:p w14:paraId="2C2938B6">
      <w:pPr>
        <w:widowControl/>
        <w:topLinePunct w:val="0"/>
        <w:spacing w:after="0"/>
        <w:jc w:val="left"/>
      </w:pPr>
      <w:r>
        <w:rPr>
          <w:rFonts w:hint="eastAsia"/>
        </w:rPr>
        <w:t>在市场调查报告方面，QYResearch研究团队深入挖掘市场数据，通过科学的方法和严谨的分析，为客户提供准确、全面的市场现状和趋势信息，帮助企业了解目标市场的规模、增长潜力、竞争格局等关键要素。市场研究报告则更加注重对特定行业或细分市场的深度剖析，从宏观经济环境、政策法规、技术创新等多个维度进行综合分析，为企业制定发展战略提供有力支持。</w:t>
      </w:r>
      <w:r>
        <w:br w:type="page"/>
      </w:r>
    </w:p>
    <w:p w14:paraId="44717209">
      <w:pPr>
        <w:widowControl/>
        <w:topLinePunct w:val="0"/>
        <w:spacing w:after="0"/>
        <w:jc w:val="left"/>
      </w:pPr>
      <w:r>
        <w:rPr>
          <w:rFonts w:hint="eastAsia" w:cs="Calibri"/>
          <w:b/>
          <w:color w:val="FF8200"/>
          <w:spacing w:val="-3"/>
          <w:sz w:val="24"/>
          <w:szCs w:val="40"/>
        </w:rPr>
        <w:t>二、结构玻璃屋顶主要厂商介绍</w:t>
      </w:r>
    </w:p>
    <w:tbl>
      <w:tblPr>
        <w:tblStyle w:val="205"/>
        <w:tblW w:w="0" w:type="auto"/>
        <w:tblInd w:w="0" w:type="dxa"/>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Layout w:type="autofit"/>
        <w:tblCellMar>
          <w:top w:w="0" w:type="dxa"/>
          <w:left w:w="108" w:type="dxa"/>
          <w:bottom w:w="0" w:type="dxa"/>
          <w:right w:w="108" w:type="dxa"/>
        </w:tblCellMar>
      </w:tblPr>
      <w:tblGrid>
        <w:gridCol w:w="1838"/>
        <w:gridCol w:w="7898"/>
      </w:tblGrid>
      <w:tr w14:paraId="287E3B5E">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838" w:type="dxa"/>
            <w:tcBorders>
              <w:top w:val="single" w:color="ED7D31" w:themeColor="accent2" w:sz="4" w:space="0"/>
              <w:left w:val="single" w:color="ED7D31" w:themeColor="accent2" w:sz="4" w:space="0"/>
              <w:bottom w:val="single" w:color="ED7D31" w:themeColor="accent2" w:sz="4" w:space="0"/>
              <w:right w:val="nil"/>
              <w:insideH w:val="single" w:sz="4" w:space="0"/>
              <w:insideV w:val="nil"/>
            </w:tcBorders>
            <w:shd w:val="clear" w:color="auto" w:fill="ED7D31" w:themeFill="accent2"/>
            <w:noWrap/>
          </w:tcPr>
          <w:p w14:paraId="4F30ADE4">
            <w:pPr>
              <w:spacing w:line="360" w:lineRule="auto"/>
              <w:rPr>
                <w:b w:val="0"/>
                <w:bCs w:val="0"/>
                <w:color w:val="FFFFFF" w:themeColor="background1"/>
                <w14:textFill>
                  <w14:solidFill>
                    <w14:schemeClr w14:val="bg1"/>
                  </w14:solidFill>
                </w14:textFill>
              </w:rPr>
            </w:pPr>
            <w:bookmarkStart w:id="13" w:name="_Hlk209964639"/>
            <w:r>
              <w:rPr>
                <w:rFonts w:hint="eastAsia"/>
                <w:b/>
                <w:bCs/>
                <w:color w:val="FFFFFF" w:themeColor="background1"/>
                <w14:textFill>
                  <w14:solidFill>
                    <w14:schemeClr w14:val="bg1"/>
                  </w14:solidFill>
                </w14:textFill>
              </w:rPr>
              <w:t>序号</w:t>
            </w:r>
          </w:p>
        </w:tc>
        <w:tc>
          <w:tcPr>
            <w:tcW w:w="7898" w:type="dxa"/>
            <w:tcBorders>
              <w:top w:val="single" w:color="ED7D31" w:themeColor="accent2" w:sz="4" w:space="0"/>
              <w:bottom w:val="single" w:color="ED7D31" w:themeColor="accent2" w:sz="4" w:space="0"/>
              <w:right w:val="single" w:color="ED7D31" w:themeColor="accent2" w:sz="4" w:space="0"/>
              <w:insideH w:val="single" w:sz="4" w:space="0"/>
              <w:insideV w:val="nil"/>
            </w:tcBorders>
            <w:shd w:val="clear" w:color="auto" w:fill="ED7D31" w:themeFill="accent2"/>
            <w:noWrap/>
          </w:tcPr>
          <w:p w14:paraId="198BEFE1">
            <w:pPr>
              <w:spacing w:line="360" w:lineRule="auto"/>
              <w:rPr>
                <w:b w:val="0"/>
                <w:bCs w:val="0"/>
                <w:color w:val="FFFFFF" w:themeColor="background1"/>
                <w14:textFill>
                  <w14:solidFill>
                    <w14:schemeClr w14:val="bg1"/>
                  </w14:solidFill>
                </w14:textFill>
              </w:rPr>
            </w:pPr>
            <w:r>
              <w:rPr>
                <w:rFonts w:hint="eastAsia"/>
                <w:b/>
                <w:bCs/>
                <w:color w:val="FFFFFF" w:themeColor="background1"/>
                <w14:textFill>
                  <w14:solidFill>
                    <w14:schemeClr w14:val="bg1"/>
                  </w14:solidFill>
                </w14:textFill>
              </w:rPr>
              <w:t>企业</w:t>
            </w:r>
          </w:p>
        </w:tc>
      </w:tr>
      <w:tr w14:paraId="1F4082F9">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838" w:type="dxa"/>
            <w:shd w:val="clear" w:color="auto" w:fill="FBE4D5" w:themeFill="accent2" w:themeFillTint="33"/>
            <w:noWrap/>
          </w:tcPr>
          <w:p w14:paraId="0DB85A92">
            <w:pPr>
              <w:spacing w:line="360" w:lineRule="auto"/>
              <w:rPr>
                <w:b w:val="0"/>
                <w:bCs w:val="0"/>
              </w:rPr>
            </w:pPr>
            <w:r>
              <w:rPr>
                <w:rFonts w:hint="eastAsia"/>
                <w:b/>
                <w:bCs/>
              </w:rPr>
              <w:t>1</w:t>
            </w:r>
          </w:p>
        </w:tc>
        <w:tc>
          <w:tcPr>
            <w:tcW w:w="7898" w:type="dxa"/>
            <w:shd w:val="clear" w:color="auto" w:fill="FBE4D5" w:themeFill="accent2" w:themeFillTint="33"/>
            <w:noWrap/>
          </w:tcPr>
          <w:p w14:paraId="74774936">
            <w:pPr>
              <w:spacing w:line="360" w:lineRule="auto"/>
              <w:rPr>
                <w:szCs w:val="22"/>
              </w:rPr>
            </w:pPr>
            <w:r>
              <w:t>IQ Glassuk</w:t>
            </w:r>
          </w:p>
        </w:tc>
      </w:tr>
      <w:tr w14:paraId="70BF1987">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838" w:type="dxa"/>
            <w:noWrap/>
          </w:tcPr>
          <w:p w14:paraId="08ED42BB">
            <w:pPr>
              <w:spacing w:line="360" w:lineRule="auto"/>
              <w:rPr>
                <w:b w:val="0"/>
                <w:bCs w:val="0"/>
              </w:rPr>
            </w:pPr>
            <w:r>
              <w:rPr>
                <w:rFonts w:hint="eastAsia"/>
                <w:b/>
                <w:bCs/>
              </w:rPr>
              <w:t>2</w:t>
            </w:r>
          </w:p>
        </w:tc>
        <w:tc>
          <w:tcPr>
            <w:tcW w:w="7898" w:type="dxa"/>
            <w:noWrap/>
          </w:tcPr>
          <w:p w14:paraId="1125C339">
            <w:pPr>
              <w:spacing w:line="360" w:lineRule="auto"/>
              <w:rPr>
                <w:szCs w:val="22"/>
              </w:rPr>
            </w:pPr>
            <w:r>
              <w:t>Velux</w:t>
            </w:r>
          </w:p>
        </w:tc>
      </w:tr>
      <w:tr w14:paraId="3B7C895B">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838" w:type="dxa"/>
            <w:shd w:val="clear" w:color="auto" w:fill="FBE4D5" w:themeFill="accent2" w:themeFillTint="33"/>
            <w:noWrap/>
          </w:tcPr>
          <w:p w14:paraId="6E43363E">
            <w:pPr>
              <w:spacing w:line="360" w:lineRule="auto"/>
              <w:rPr>
                <w:b w:val="0"/>
                <w:bCs w:val="0"/>
              </w:rPr>
            </w:pPr>
            <w:r>
              <w:rPr>
                <w:rFonts w:hint="eastAsia"/>
                <w:b/>
                <w:bCs/>
              </w:rPr>
              <w:t>3</w:t>
            </w:r>
          </w:p>
        </w:tc>
        <w:tc>
          <w:tcPr>
            <w:tcW w:w="7898" w:type="dxa"/>
            <w:shd w:val="clear" w:color="auto" w:fill="FBE4D5" w:themeFill="accent2" w:themeFillTint="33"/>
            <w:noWrap/>
          </w:tcPr>
          <w:p w14:paraId="2384DF70">
            <w:pPr>
              <w:spacing w:line="360" w:lineRule="auto"/>
              <w:rPr>
                <w:szCs w:val="22"/>
              </w:rPr>
            </w:pPr>
            <w:r>
              <w:t>Seele</w:t>
            </w:r>
          </w:p>
        </w:tc>
      </w:tr>
      <w:tr w14:paraId="4B1D22FF">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838" w:type="dxa"/>
            <w:noWrap/>
          </w:tcPr>
          <w:p w14:paraId="33AE2E58">
            <w:pPr>
              <w:spacing w:line="360" w:lineRule="auto"/>
              <w:rPr>
                <w:b w:val="0"/>
                <w:bCs w:val="0"/>
              </w:rPr>
            </w:pPr>
            <w:r>
              <w:rPr>
                <w:rFonts w:hint="eastAsia"/>
                <w:b/>
                <w:bCs/>
              </w:rPr>
              <w:t>4</w:t>
            </w:r>
          </w:p>
        </w:tc>
        <w:tc>
          <w:tcPr>
            <w:tcW w:w="7898" w:type="dxa"/>
            <w:noWrap/>
          </w:tcPr>
          <w:p w14:paraId="3C34A7FB">
            <w:pPr>
              <w:spacing w:line="360" w:lineRule="auto"/>
              <w:rPr>
                <w:szCs w:val="22"/>
              </w:rPr>
            </w:pPr>
            <w:r>
              <w:t>Cantifix</w:t>
            </w:r>
          </w:p>
        </w:tc>
      </w:tr>
      <w:tr w14:paraId="0E25A85B">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838" w:type="dxa"/>
            <w:shd w:val="clear" w:color="auto" w:fill="FBE4D5" w:themeFill="accent2" w:themeFillTint="33"/>
            <w:noWrap/>
          </w:tcPr>
          <w:p w14:paraId="37D4702C">
            <w:pPr>
              <w:spacing w:line="360" w:lineRule="auto"/>
              <w:rPr>
                <w:b w:val="0"/>
                <w:bCs w:val="0"/>
              </w:rPr>
            </w:pPr>
            <w:r>
              <w:rPr>
                <w:rFonts w:hint="eastAsia"/>
                <w:b/>
                <w:bCs/>
              </w:rPr>
              <w:t>5</w:t>
            </w:r>
          </w:p>
        </w:tc>
        <w:tc>
          <w:tcPr>
            <w:tcW w:w="7898" w:type="dxa"/>
            <w:shd w:val="clear" w:color="auto" w:fill="FBE4D5" w:themeFill="accent2" w:themeFillTint="33"/>
            <w:noWrap/>
          </w:tcPr>
          <w:p w14:paraId="6BE01229">
            <w:pPr>
              <w:spacing w:line="360" w:lineRule="auto"/>
              <w:rPr>
                <w:szCs w:val="22"/>
              </w:rPr>
            </w:pPr>
            <w:r>
              <w:t>LAMILUX</w:t>
            </w:r>
          </w:p>
        </w:tc>
      </w:tr>
      <w:tr w14:paraId="50C266BB">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838" w:type="dxa"/>
            <w:noWrap/>
          </w:tcPr>
          <w:p w14:paraId="55B86F78">
            <w:pPr>
              <w:spacing w:line="360" w:lineRule="auto"/>
              <w:rPr>
                <w:b w:val="0"/>
                <w:bCs w:val="0"/>
              </w:rPr>
            </w:pPr>
            <w:r>
              <w:rPr>
                <w:rFonts w:hint="eastAsia"/>
                <w:b/>
                <w:bCs/>
              </w:rPr>
              <w:t>6</w:t>
            </w:r>
          </w:p>
        </w:tc>
        <w:tc>
          <w:tcPr>
            <w:tcW w:w="7898" w:type="dxa"/>
            <w:noWrap/>
          </w:tcPr>
          <w:p w14:paraId="1F992237">
            <w:pPr>
              <w:spacing w:line="360" w:lineRule="auto"/>
              <w:rPr>
                <w:szCs w:val="22"/>
              </w:rPr>
            </w:pPr>
            <w:r>
              <w:t>Ultraframe Trade</w:t>
            </w:r>
          </w:p>
        </w:tc>
      </w:tr>
      <w:tr w14:paraId="12DD26B2">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838" w:type="dxa"/>
            <w:shd w:val="clear" w:color="auto" w:fill="FBE4D5" w:themeFill="accent2" w:themeFillTint="33"/>
            <w:noWrap/>
          </w:tcPr>
          <w:p w14:paraId="4CEBEA1A">
            <w:pPr>
              <w:spacing w:line="360" w:lineRule="auto"/>
              <w:rPr>
                <w:b w:val="0"/>
                <w:bCs w:val="0"/>
              </w:rPr>
            </w:pPr>
            <w:r>
              <w:rPr>
                <w:rFonts w:hint="eastAsia"/>
                <w:b/>
                <w:bCs/>
              </w:rPr>
              <w:t>7</w:t>
            </w:r>
          </w:p>
        </w:tc>
        <w:tc>
          <w:tcPr>
            <w:tcW w:w="7898" w:type="dxa"/>
            <w:shd w:val="clear" w:color="auto" w:fill="FBE4D5" w:themeFill="accent2" w:themeFillTint="33"/>
            <w:noWrap/>
          </w:tcPr>
          <w:p w14:paraId="1180BCF1">
            <w:pPr>
              <w:spacing w:line="360" w:lineRule="auto"/>
              <w:rPr>
                <w:szCs w:val="22"/>
              </w:rPr>
            </w:pPr>
            <w:r>
              <w:t>NSG Group</w:t>
            </w:r>
          </w:p>
        </w:tc>
      </w:tr>
      <w:tr w14:paraId="5D65AEE4">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838" w:type="dxa"/>
            <w:noWrap/>
          </w:tcPr>
          <w:p w14:paraId="49223688">
            <w:pPr>
              <w:spacing w:line="360" w:lineRule="auto"/>
              <w:rPr>
                <w:b w:val="0"/>
                <w:bCs w:val="0"/>
              </w:rPr>
            </w:pPr>
            <w:r>
              <w:rPr>
                <w:rFonts w:hint="eastAsia"/>
                <w:b/>
                <w:bCs/>
              </w:rPr>
              <w:t>8</w:t>
            </w:r>
          </w:p>
        </w:tc>
        <w:tc>
          <w:tcPr>
            <w:tcW w:w="7898" w:type="dxa"/>
            <w:noWrap/>
          </w:tcPr>
          <w:p w14:paraId="4092DE44">
            <w:pPr>
              <w:spacing w:line="360" w:lineRule="auto"/>
              <w:rPr>
                <w:szCs w:val="22"/>
              </w:rPr>
            </w:pPr>
            <w:r>
              <w:t>Guardian Glass,LLC</w:t>
            </w:r>
          </w:p>
        </w:tc>
      </w:tr>
      <w:tr w14:paraId="591861DA">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838" w:type="dxa"/>
            <w:shd w:val="clear" w:color="auto" w:fill="FBE4D5" w:themeFill="accent2" w:themeFillTint="33"/>
            <w:noWrap/>
          </w:tcPr>
          <w:p w14:paraId="20F35904">
            <w:pPr>
              <w:spacing w:line="360" w:lineRule="auto"/>
              <w:rPr>
                <w:b w:val="0"/>
                <w:bCs w:val="0"/>
              </w:rPr>
            </w:pPr>
            <w:r>
              <w:rPr>
                <w:rFonts w:hint="eastAsia"/>
                <w:b/>
                <w:bCs/>
              </w:rPr>
              <w:t>9</w:t>
            </w:r>
          </w:p>
        </w:tc>
        <w:tc>
          <w:tcPr>
            <w:tcW w:w="7898" w:type="dxa"/>
            <w:shd w:val="clear" w:color="auto" w:fill="FBE4D5" w:themeFill="accent2" w:themeFillTint="33"/>
            <w:noWrap/>
          </w:tcPr>
          <w:p w14:paraId="32AAAF6B">
            <w:pPr>
              <w:spacing w:line="360" w:lineRule="auto"/>
              <w:rPr>
                <w:szCs w:val="22"/>
              </w:rPr>
            </w:pPr>
            <w:r>
              <w:t>Taiwan Glass</w:t>
            </w:r>
          </w:p>
        </w:tc>
      </w:tr>
      <w:tr w14:paraId="52A0B26C">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838" w:type="dxa"/>
            <w:noWrap/>
          </w:tcPr>
          <w:p w14:paraId="176EDB10">
            <w:pPr>
              <w:spacing w:line="360" w:lineRule="auto"/>
              <w:rPr>
                <w:b w:val="0"/>
                <w:bCs w:val="0"/>
              </w:rPr>
            </w:pPr>
            <w:r>
              <w:rPr>
                <w:rFonts w:hint="eastAsia"/>
                <w:b/>
                <w:bCs/>
              </w:rPr>
              <w:t>10</w:t>
            </w:r>
          </w:p>
        </w:tc>
        <w:tc>
          <w:tcPr>
            <w:tcW w:w="7898" w:type="dxa"/>
            <w:noWrap/>
          </w:tcPr>
          <w:p w14:paraId="12D6B9C0">
            <w:pPr>
              <w:spacing w:line="360" w:lineRule="auto"/>
              <w:rPr>
                <w:szCs w:val="22"/>
              </w:rPr>
            </w:pPr>
            <w:r>
              <w:t>IDSystems</w:t>
            </w:r>
          </w:p>
        </w:tc>
      </w:tr>
      <w:tr w14:paraId="05ED7E2B">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838" w:type="dxa"/>
            <w:shd w:val="clear" w:color="auto" w:fill="FBE4D5" w:themeFill="accent2" w:themeFillTint="33"/>
            <w:noWrap/>
          </w:tcPr>
          <w:p w14:paraId="79E9B17F">
            <w:pPr>
              <w:spacing w:line="360" w:lineRule="auto"/>
              <w:rPr>
                <w:b w:val="0"/>
                <w:bCs w:val="0"/>
              </w:rPr>
            </w:pPr>
            <w:r>
              <w:rPr>
                <w:rFonts w:hint="eastAsia"/>
                <w:b/>
                <w:bCs/>
              </w:rPr>
              <w:t>11</w:t>
            </w:r>
          </w:p>
        </w:tc>
        <w:tc>
          <w:tcPr>
            <w:tcW w:w="7898" w:type="dxa"/>
            <w:shd w:val="clear" w:color="auto" w:fill="FBE4D5" w:themeFill="accent2" w:themeFillTint="33"/>
            <w:noWrap/>
          </w:tcPr>
          <w:p w14:paraId="154B544B">
            <w:pPr>
              <w:spacing w:line="360" w:lineRule="auto"/>
              <w:rPr>
                <w:szCs w:val="22"/>
              </w:rPr>
            </w:pPr>
            <w:r>
              <w:t>Tenteks</w:t>
            </w:r>
          </w:p>
        </w:tc>
      </w:tr>
      <w:tr w14:paraId="770B84C3">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838" w:type="dxa"/>
            <w:noWrap/>
          </w:tcPr>
          <w:p w14:paraId="030DDE96">
            <w:pPr>
              <w:spacing w:line="360" w:lineRule="auto"/>
              <w:rPr>
                <w:b w:val="0"/>
                <w:bCs w:val="0"/>
              </w:rPr>
            </w:pPr>
            <w:r>
              <w:rPr>
                <w:rFonts w:hint="eastAsia"/>
                <w:b/>
                <w:bCs/>
              </w:rPr>
              <w:t>12</w:t>
            </w:r>
          </w:p>
        </w:tc>
        <w:tc>
          <w:tcPr>
            <w:tcW w:w="7898" w:type="dxa"/>
            <w:noWrap/>
          </w:tcPr>
          <w:p w14:paraId="4620E55A">
            <w:pPr>
              <w:spacing w:line="360" w:lineRule="auto"/>
              <w:rPr>
                <w:szCs w:val="22"/>
              </w:rPr>
            </w:pPr>
            <w:r>
              <w:t>IQ Glass International</w:t>
            </w:r>
          </w:p>
        </w:tc>
      </w:tr>
      <w:tr w14:paraId="119E4E36">
        <w:tblPrEx>
          <w:tblCellMar>
            <w:top w:w="0" w:type="dxa"/>
            <w:left w:w="108" w:type="dxa"/>
            <w:bottom w:w="0" w:type="dxa"/>
            <w:right w:w="108" w:type="dxa"/>
          </w:tblCellMar>
        </w:tblPrEx>
        <w:trPr>
          <w:trHeight w:val="270" w:hRule="atLeast"/>
        </w:trPr>
        <w:tc>
          <w:tcPr>
            <w:tcW w:w="1838" w:type="dxa"/>
            <w:shd w:val="clear" w:color="auto" w:fill="FBE4D5" w:themeFill="accent2" w:themeFillTint="33"/>
            <w:noWrap/>
          </w:tcPr>
          <w:p w14:paraId="0FF1203C">
            <w:pPr>
              <w:spacing w:line="360" w:lineRule="auto"/>
              <w:rPr>
                <w:b w:val="0"/>
                <w:bCs w:val="0"/>
              </w:rPr>
            </w:pPr>
            <w:r>
              <w:rPr>
                <w:rFonts w:hint="eastAsia"/>
                <w:b/>
                <w:bCs/>
              </w:rPr>
              <w:t>13</w:t>
            </w:r>
          </w:p>
        </w:tc>
        <w:tc>
          <w:tcPr>
            <w:tcW w:w="7898" w:type="dxa"/>
            <w:shd w:val="clear" w:color="auto" w:fill="FBE4D5" w:themeFill="accent2" w:themeFillTint="33"/>
            <w:noWrap/>
          </w:tcPr>
          <w:p w14:paraId="306E46C9">
            <w:pPr>
              <w:spacing w:line="360" w:lineRule="auto"/>
              <w:rPr>
                <w:szCs w:val="22"/>
              </w:rPr>
            </w:pPr>
            <w:r>
              <w:t>GlasSpace</w:t>
            </w:r>
          </w:p>
        </w:tc>
      </w:tr>
      <w:tr w14:paraId="48E20B30">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838" w:type="dxa"/>
            <w:noWrap/>
          </w:tcPr>
          <w:p w14:paraId="012B2225">
            <w:pPr>
              <w:spacing w:line="360" w:lineRule="auto"/>
              <w:rPr>
                <w:b w:val="0"/>
                <w:bCs w:val="0"/>
              </w:rPr>
            </w:pPr>
            <w:r>
              <w:rPr>
                <w:rFonts w:hint="eastAsia"/>
                <w:b/>
                <w:bCs/>
              </w:rPr>
              <w:t>14</w:t>
            </w:r>
          </w:p>
        </w:tc>
        <w:tc>
          <w:tcPr>
            <w:tcW w:w="7898" w:type="dxa"/>
            <w:noWrap/>
          </w:tcPr>
          <w:p w14:paraId="6EC9A594">
            <w:pPr>
              <w:spacing w:line="360" w:lineRule="auto"/>
              <w:rPr>
                <w:szCs w:val="22"/>
              </w:rPr>
            </w:pPr>
            <w:r>
              <w:t>VELUX Group</w:t>
            </w:r>
          </w:p>
        </w:tc>
      </w:tr>
      <w:tr w14:paraId="6F20FDF7">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PrEx>
        <w:trPr>
          <w:trHeight w:val="270" w:hRule="atLeast"/>
        </w:trPr>
        <w:tc>
          <w:tcPr>
            <w:tcW w:w="1838" w:type="dxa"/>
            <w:shd w:val="clear" w:color="auto" w:fill="FBE4D5" w:themeFill="accent2" w:themeFillTint="33"/>
            <w:noWrap/>
          </w:tcPr>
          <w:p w14:paraId="22D40F86">
            <w:pPr>
              <w:spacing w:line="360" w:lineRule="auto"/>
              <w:rPr>
                <w:b w:val="0"/>
                <w:bCs w:val="0"/>
              </w:rPr>
            </w:pPr>
            <w:r>
              <w:rPr>
                <w:rFonts w:hint="eastAsia"/>
                <w:b/>
                <w:bCs/>
              </w:rPr>
              <w:t>15</w:t>
            </w:r>
          </w:p>
        </w:tc>
        <w:tc>
          <w:tcPr>
            <w:tcW w:w="7898" w:type="dxa"/>
            <w:shd w:val="clear" w:color="auto" w:fill="FBE4D5" w:themeFill="accent2" w:themeFillTint="33"/>
            <w:noWrap/>
          </w:tcPr>
          <w:p w14:paraId="3C644E6A">
            <w:pPr>
              <w:spacing w:line="360" w:lineRule="auto"/>
              <w:rPr>
                <w:szCs w:val="22"/>
              </w:rPr>
            </w:pPr>
            <w:r>
              <w:t>Natralight</w:t>
            </w:r>
          </w:p>
        </w:tc>
      </w:tr>
    </w:tbl>
    <w:p w14:paraId="5FBBD52E">
      <w:pPr>
        <w:pStyle w:val="145"/>
        <w:rPr>
          <w:i/>
          <w:sz w:val="16"/>
          <w:lang w:eastAsia="zh-CN"/>
        </w:rPr>
      </w:pPr>
      <w:r>
        <w:rPr>
          <w:rFonts w:hint="eastAsia"/>
          <w:i/>
          <w:sz w:val="16"/>
          <w:lang w:eastAsia="zh-CN"/>
        </w:rPr>
        <w:t>来源：第三方资料、QYResearch研究团队</w:t>
      </w:r>
    </w:p>
    <w:bookmarkEnd w:id="13"/>
    <w:p w14:paraId="43EE27A4">
      <w:pPr>
        <w:widowControl/>
        <w:topLinePunct w:val="0"/>
        <w:spacing w:after="0"/>
        <w:jc w:val="left"/>
        <w:rPr>
          <w:i/>
          <w:color w:val="0D0D0D" w:themeColor="text1" w:themeTint="F2"/>
          <w:kern w:val="0"/>
          <w:sz w:val="16"/>
          <w:szCs w:val="22"/>
          <w:lang w:val="en-IN"/>
          <w14:textFill>
            <w14:solidFill>
              <w14:schemeClr w14:val="tx1">
                <w14:lumMod w14:val="95000"/>
                <w14:lumOff w14:val="5000"/>
              </w14:schemeClr>
            </w14:solidFill>
          </w14:textFill>
        </w:rPr>
      </w:pPr>
    </w:p>
    <w:p w14:paraId="2273A7EE">
      <w:pPr>
        <w:widowControl/>
        <w:topLinePunct w:val="0"/>
        <w:spacing w:after="0"/>
        <w:jc w:val="left"/>
      </w:pPr>
      <w:r>
        <w:rPr>
          <w:rFonts w:hint="eastAsia"/>
        </w:rPr>
        <w:t>根据QYResearch头部企业研究中心调研，全球范围内结构玻璃屋顶生产商主要包括IQ Glassuk、Velux、Seele、Cantifix、LAMILUX等。2024年，全球前五大厂商占有大约31%的市场份额。</w:t>
      </w:r>
    </w:p>
    <w:p w14:paraId="49FE17C6">
      <w:pPr>
        <w:widowControl/>
        <w:topLinePunct w:val="0"/>
        <w:spacing w:after="0"/>
        <w:jc w:val="left"/>
      </w:pPr>
    </w:p>
    <w:p w14:paraId="7F8FAB66">
      <w:pPr>
        <w:widowControl/>
        <w:topLinePunct w:val="0"/>
        <w:spacing w:after="0"/>
        <w:jc w:val="left"/>
        <w:rPr>
          <w:rFonts w:cs="Calibri"/>
          <w:b/>
          <w:color w:val="FF8200"/>
          <w:spacing w:val="-3"/>
          <w:sz w:val="24"/>
          <w:szCs w:val="40"/>
        </w:rPr>
      </w:pPr>
      <w:bookmarkStart w:id="14" w:name="_Hlk210146123"/>
      <w:r>
        <w:rPr>
          <w:rFonts w:hint="eastAsia" w:cs="Calibri"/>
          <w:b/>
          <w:color w:val="FF8200"/>
          <w:spacing w:val="-3"/>
          <w:sz w:val="24"/>
          <w:szCs w:val="40"/>
        </w:rPr>
        <w:t>重点企业介绍</w:t>
      </w:r>
    </w:p>
    <w:p w14:paraId="45AF5B98">
      <w:pPr>
        <w:widowControl/>
        <w:topLinePunct w:val="0"/>
        <w:spacing w:after="0"/>
        <w:jc w:val="left"/>
        <w:rPr>
          <w:rFonts w:hint="eastAsia" w:cs="Calibri"/>
          <w:b/>
          <w:color w:val="FF8200"/>
          <w:spacing w:val="-3"/>
          <w:sz w:val="24"/>
          <w:szCs w:val="40"/>
        </w:rPr>
      </w:pPr>
    </w:p>
    <w:p w14:paraId="7359B3A7">
      <w:pPr>
        <w:widowControl/>
        <w:topLinePunct w:val="0"/>
        <w:spacing w:after="0"/>
        <w:jc w:val="left"/>
        <w:rPr>
          <w:rFonts w:hint="eastAsia" w:cs="Calibri"/>
          <w:b/>
          <w:color w:val="FF8200"/>
          <w:spacing w:val="-3"/>
          <w:sz w:val="24"/>
          <w:szCs w:val="40"/>
        </w:rPr>
      </w:pPr>
      <w:bookmarkStart w:id="15" w:name="_Hlk210146309"/>
      <w:r>
        <w:rPr>
          <w:rFonts w:hint="eastAsia" w:cs="Calibri"/>
          <w:b/>
          <w:color w:val="FF8200"/>
          <w:spacing w:val="-3"/>
          <w:sz w:val="24"/>
          <w:szCs w:val="40"/>
        </w:rPr>
        <w:t>企业1</w:t>
      </w:r>
    </w:p>
    <w:bookmarkEnd w:id="14"/>
    <w:bookmarkEnd w:id="15"/>
    <w:p w14:paraId="2068A7AA">
      <w:pPr>
        <w:widowControl/>
        <w:topLinePunct w:val="0"/>
        <w:spacing w:after="0"/>
        <w:jc w:val="center"/>
        <w:rPr>
          <w:i/>
          <w:color w:val="0D0D0D" w:themeColor="text1" w:themeTint="F2"/>
          <w:kern w:val="0"/>
          <w:sz w:val="16"/>
          <w:szCs w:val="22"/>
          <w:lang w:val="en-IN"/>
          <w14:textFill>
            <w14:solidFill>
              <w14:schemeClr w14:val="tx1">
                <w14:lumMod w14:val="95000"/>
                <w14:lumOff w14:val="5000"/>
              </w14:schemeClr>
            </w14:solidFill>
          </w14:textFill>
        </w:rPr>
      </w:pPr>
      <w:r>
        <w:rPr>
          <w:rFonts w:hint="eastAsia"/>
          <w:i/>
          <w:color w:val="0D0D0D" w:themeColor="text1" w:themeTint="F2"/>
          <w:kern w:val="0"/>
          <w:sz w:val="16"/>
          <w:szCs w:val="22"/>
          <w:lang w:val="en-IN"/>
          <w14:textFill>
            <w14:solidFill>
              <w14:schemeClr w14:val="tx1">
                <w14:lumMod w14:val="95000"/>
                <w14:lumOff w14:val="5000"/>
              </w14:schemeClr>
            </w14:solidFill>
          </w14:textFill>
        </w:rPr>
        <w:drawing>
          <wp:inline distT="0" distB="0" distL="114300" distR="114300">
            <wp:extent cx="1527175" cy="352425"/>
            <wp:effectExtent l="0" t="0" r="0" b="9525"/>
            <wp:docPr id="1" name="图片 1" descr="c87e833e-82e1-4b23-818a-be3c77adaac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87e833e-82e1-4b23-818a-be3c77adaac2"/>
                    <pic:cNvPicPr>
                      <a:picLocks noChangeAspect="1"/>
                    </pic:cNvPicPr>
                  </pic:nvPicPr>
                  <pic:blipFill>
                    <a:blip r:embed="rId10"/>
                    <a:stretch>
                      <a:fillRect/>
                    </a:stretch>
                  </pic:blipFill>
                  <pic:spPr>
                    <a:xfrm>
                      <a:off x="0" y="0"/>
                      <a:ext cx="1527175" cy="352425"/>
                    </a:xfrm>
                    <a:prstGeom prst="rect">
                      <a:avLst/>
                    </a:prstGeom>
                  </pic:spPr>
                </pic:pic>
              </a:graphicData>
            </a:graphic>
          </wp:inline>
        </w:drawing>
      </w:r>
    </w:p>
    <w:tbl>
      <w:tblPr>
        <w:tblStyle w:val="208"/>
        <w:tblW w:w="0" w:type="auto"/>
        <w:jc w:val="center"/>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Layout w:type="autofit"/>
        <w:tblCellMar>
          <w:top w:w="0" w:type="dxa"/>
          <w:left w:w="108" w:type="dxa"/>
          <w:bottom w:w="0" w:type="dxa"/>
          <w:right w:w="108" w:type="dxa"/>
        </w:tblCellMar>
      </w:tblPr>
      <w:tblGrid>
        <w:gridCol w:w="2830"/>
        <w:gridCol w:w="6906"/>
      </w:tblGrid>
      <w:tr w14:paraId="5A56090B">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jc w:val="center"/>
        </w:trPr>
        <w:tc>
          <w:tcPr>
            <w:tcW w:w="2830" w:type="dxa"/>
            <w:tcBorders>
              <w:top w:val="single" w:color="ED7D31" w:themeColor="accent2" w:sz="4" w:space="0"/>
              <w:left w:val="single" w:color="ED7D31" w:themeColor="accent2" w:sz="4" w:space="0"/>
              <w:bottom w:val="single" w:color="ED7D31" w:themeColor="accent2" w:sz="4" w:space="0"/>
              <w:right w:val="nil"/>
              <w:insideH w:val="single" w:sz="4" w:space="0"/>
              <w:insideV w:val="nil"/>
            </w:tcBorders>
            <w:shd w:val="clear" w:color="auto" w:fill="ED7D31" w:themeFill="accent2"/>
            <w:noWrap/>
          </w:tcPr>
          <w:p w14:paraId="3187DBF2">
            <w:pPr>
              <w:spacing w:line="360" w:lineRule="auto"/>
              <w:rPr>
                <w:b/>
                <w:bCs/>
                <w:color w:val="FFFFFF" w:themeColor="background1"/>
                <w14:textFill>
                  <w14:solidFill>
                    <w14:schemeClr w14:val="bg1"/>
                  </w14:solidFill>
                </w14:textFill>
              </w:rPr>
            </w:pPr>
            <w:bookmarkStart w:id="16" w:name="_Hlk210146139"/>
            <w:r>
              <w:rPr>
                <w:rFonts w:hint="eastAsia"/>
                <w:b/>
                <w:bCs/>
                <w:color w:val="FFFFFF" w:themeColor="background1"/>
                <w14:textFill>
                  <w14:solidFill>
                    <w14:schemeClr w14:val="bg1"/>
                  </w14:solidFill>
                </w14:textFill>
              </w:rPr>
              <w:t>IQ Glassuk</w:t>
            </w:r>
          </w:p>
        </w:tc>
        <w:tc>
          <w:tcPr>
            <w:tcW w:w="6906" w:type="dxa"/>
            <w:tcBorders>
              <w:top w:val="single" w:color="ED7D31" w:themeColor="accent2" w:sz="4" w:space="0"/>
              <w:bottom w:val="single" w:color="ED7D31" w:themeColor="accent2" w:sz="4" w:space="0"/>
              <w:right w:val="single" w:color="ED7D31" w:themeColor="accent2" w:sz="4" w:space="0"/>
              <w:insideH w:val="single" w:sz="4" w:space="0"/>
              <w:insideV w:val="nil"/>
            </w:tcBorders>
            <w:shd w:val="clear" w:color="auto" w:fill="ED7D31" w:themeFill="accent2"/>
            <w:noWrap/>
          </w:tcPr>
          <w:p w14:paraId="440DA3E9">
            <w:pPr>
              <w:spacing w:line="360" w:lineRule="auto"/>
              <w:rPr>
                <w:b/>
                <w:bCs/>
                <w:color w:val="FFFFFF" w:themeColor="background1"/>
                <w14:textFill>
                  <w14:solidFill>
                    <w14:schemeClr w14:val="bg1"/>
                  </w14:solidFill>
                </w14:textFill>
              </w:rPr>
            </w:pPr>
            <w:r>
              <w:rPr>
                <w:rFonts w:hint="eastAsia"/>
                <w:b/>
                <w:bCs/>
                <w:color w:val="FFFFFF" w:themeColor="background1"/>
                <w14:textFill>
                  <w14:solidFill>
                    <w14:schemeClr w14:val="bg1"/>
                  </w14:solidFill>
                </w14:textFill>
              </w:rPr>
              <w:t>描述</w:t>
            </w:r>
          </w:p>
        </w:tc>
      </w:tr>
      <w:tr w14:paraId="327CB9B9">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jc w:val="center"/>
        </w:trPr>
        <w:tc>
          <w:tcPr>
            <w:tcW w:w="2830" w:type="dxa"/>
            <w:shd w:val="clear" w:color="auto" w:fill="FBE4D5" w:themeFill="accent2" w:themeFillTint="33"/>
            <w:noWrap/>
            <w:vAlign w:val="center"/>
          </w:tcPr>
          <w:p w14:paraId="31A5DE50">
            <w:pPr>
              <w:spacing w:line="360" w:lineRule="auto"/>
              <w:rPr>
                <w:b/>
                <w:bCs/>
              </w:rPr>
            </w:pPr>
            <w:r>
              <w:rPr>
                <w:rFonts w:hint="eastAsia"/>
                <w:b/>
                <w:bCs/>
              </w:rPr>
              <w:t>企业介绍</w:t>
            </w:r>
          </w:p>
        </w:tc>
        <w:tc>
          <w:tcPr>
            <w:tcW w:w="6906" w:type="dxa"/>
            <w:shd w:val="clear" w:color="auto" w:fill="FBE4D5" w:themeFill="accent2" w:themeFillTint="33"/>
            <w:noWrap/>
          </w:tcPr>
          <w:p w14:paraId="434E6B71">
            <w:pPr>
              <w:widowControl/>
              <w:topLinePunct w:val="0"/>
              <w:spacing w:after="0"/>
              <w:rPr>
                <w:rFonts w:hint="eastAsia"/>
              </w:rPr>
            </w:pPr>
            <w:r>
              <w:rPr>
                <w:rFonts w:hint="eastAsia"/>
              </w:rPr>
              <w:t>IQ Glassuk是一家以员工持股为荣的企业，始终如一地致力于品质、创新。IQ Glassuk在英国各地设有办事处，从最初的设计理念到最终的安装，IQ Glassuk为建筑师、设计人员和项目团队提供实践经验和专业知识。</w:t>
            </w:r>
          </w:p>
        </w:tc>
      </w:tr>
      <w:tr w14:paraId="57A53363">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jc w:val="center"/>
        </w:trPr>
        <w:tc>
          <w:tcPr>
            <w:tcW w:w="2830" w:type="dxa"/>
            <w:noWrap/>
            <w:vAlign w:val="center"/>
          </w:tcPr>
          <w:p w14:paraId="75EDC8B8">
            <w:pPr>
              <w:spacing w:line="360" w:lineRule="auto"/>
              <w:rPr>
                <w:b/>
                <w:bCs/>
              </w:rPr>
            </w:pPr>
            <w:r>
              <w:rPr>
                <w:rFonts w:hint="eastAsia"/>
                <w:b/>
                <w:bCs/>
              </w:rPr>
              <w:t>产品介绍</w:t>
            </w:r>
          </w:p>
        </w:tc>
        <w:tc>
          <w:tcPr>
            <w:tcW w:w="6906" w:type="dxa"/>
            <w:noWrap/>
          </w:tcPr>
          <w:p w14:paraId="3E3A24DE">
            <w:pPr>
              <w:widowControl/>
              <w:topLinePunct w:val="0"/>
              <w:spacing w:after="0"/>
              <w:rPr>
                <w:rFonts w:hint="eastAsia"/>
              </w:rPr>
            </w:pPr>
            <w:r>
              <w:rPr>
                <w:rFonts w:hint="eastAsia"/>
              </w:rPr>
              <w:t>IQ Glassuk的专长在于定制结构玻璃和精密设计的超薄滑动门系统，以最小的视线提供令人惊叹的建筑效果。无论是无缝玻璃幕墙、步入式玻璃地板还是大型滑动玻璃墙，每个解决方案都是按照严格的标准定制设计和建造的。IQ Glassuk的工作不仅提升了客户的设计，还提高了空间的性能、光线和可用性。</w:t>
            </w:r>
          </w:p>
        </w:tc>
      </w:tr>
    </w:tbl>
    <w:p w14:paraId="77B13587">
      <w:pPr>
        <w:pStyle w:val="145"/>
        <w:rPr>
          <w:i/>
          <w:sz w:val="16"/>
          <w:lang w:eastAsia="zh-CN"/>
        </w:rPr>
      </w:pPr>
      <w:r>
        <w:rPr>
          <w:rFonts w:hint="eastAsia"/>
          <w:i/>
          <w:sz w:val="16"/>
          <w:lang w:eastAsia="zh-CN"/>
        </w:rPr>
        <w:t>来源：第三方资料、QYResearch研究团队</w:t>
      </w:r>
    </w:p>
    <w:bookmarkEnd w:id="16"/>
    <w:p w14:paraId="115F67B2">
      <w:pPr>
        <w:widowControl/>
        <w:topLinePunct w:val="0"/>
        <w:spacing w:after="0"/>
        <w:jc w:val="center"/>
        <w:rPr>
          <w:i/>
          <w:color w:val="0D0D0D" w:themeColor="text1" w:themeTint="F2"/>
          <w:kern w:val="0"/>
          <w:sz w:val="16"/>
          <w:szCs w:val="22"/>
          <w:lang w:val="en-IN"/>
          <w14:textFill>
            <w14:solidFill>
              <w14:schemeClr w14:val="tx1">
                <w14:lumMod w14:val="95000"/>
                <w14:lumOff w14:val="5000"/>
              </w14:schemeClr>
            </w14:solidFill>
          </w14:textFill>
        </w:rPr>
      </w:pPr>
    </w:p>
    <w:p w14:paraId="48CA155B">
      <w:pPr>
        <w:widowControl/>
        <w:topLinePunct w:val="0"/>
        <w:spacing w:after="0"/>
        <w:rPr>
          <w:rFonts w:hint="eastAsia"/>
        </w:rPr>
      </w:pPr>
      <w:r>
        <w:rPr>
          <w:rFonts w:hint="eastAsia" w:cs="Calibri"/>
          <w:b/>
          <w:color w:val="FF8200"/>
          <w:spacing w:val="-3"/>
          <w:sz w:val="24"/>
          <w:szCs w:val="40"/>
        </w:rPr>
        <w:t>企业2</w:t>
      </w:r>
    </w:p>
    <w:p w14:paraId="74B8BDB2">
      <w:pPr>
        <w:widowControl/>
        <w:topLinePunct w:val="0"/>
        <w:spacing w:after="0"/>
        <w:jc w:val="center"/>
        <w:rPr>
          <w:rFonts w:cs="Calibri"/>
          <w:b/>
          <w:color w:val="FF8200"/>
          <w:spacing w:val="-3"/>
          <w:sz w:val="24"/>
          <w:szCs w:val="40"/>
        </w:rPr>
      </w:pPr>
      <w:r>
        <w:rPr>
          <w:rFonts w:hint="eastAsia"/>
        </w:rPr>
        <w:br w:type="textWrapping"/>
      </w:r>
      <w:r>
        <w:rPr>
          <w:rFonts w:hint="eastAsia"/>
          <w:i/>
          <w:color w:val="0D0D0D" w:themeColor="text1" w:themeTint="F2"/>
          <w:kern w:val="0"/>
          <w:sz w:val="16"/>
          <w:szCs w:val="22"/>
          <w:lang w:val="en-IN"/>
          <w14:textFill>
            <w14:solidFill>
              <w14:schemeClr w14:val="tx1">
                <w14:lumMod w14:val="95000"/>
                <w14:lumOff w14:val="5000"/>
              </w14:schemeClr>
            </w14:solidFill>
          </w14:textFill>
        </w:rPr>
        <w:drawing>
          <wp:inline distT="0" distB="0" distL="114300" distR="114300">
            <wp:extent cx="1476375" cy="635635"/>
            <wp:effectExtent l="0" t="0" r="0" b="0"/>
            <wp:docPr id="2" name="图片 2" descr="4e420b13-403e-43b0-92a0-5f9af8314b6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4e420b13-403e-43b0-92a0-5f9af8314b6c"/>
                    <pic:cNvPicPr>
                      <a:picLocks noChangeAspect="1"/>
                    </pic:cNvPicPr>
                  </pic:nvPicPr>
                  <pic:blipFill>
                    <a:blip r:embed="rId11"/>
                    <a:stretch>
                      <a:fillRect/>
                    </a:stretch>
                  </pic:blipFill>
                  <pic:spPr>
                    <a:xfrm>
                      <a:off x="0" y="0"/>
                      <a:ext cx="1477938" cy="636334"/>
                    </a:xfrm>
                    <a:prstGeom prst="rect">
                      <a:avLst/>
                    </a:prstGeom>
                  </pic:spPr>
                </pic:pic>
              </a:graphicData>
            </a:graphic>
          </wp:inline>
        </w:drawing>
      </w:r>
    </w:p>
    <w:tbl>
      <w:tblPr>
        <w:tblStyle w:val="208"/>
        <w:tblW w:w="0" w:type="auto"/>
        <w:jc w:val="center"/>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Layout w:type="autofit"/>
        <w:tblCellMar>
          <w:top w:w="0" w:type="dxa"/>
          <w:left w:w="108" w:type="dxa"/>
          <w:bottom w:w="0" w:type="dxa"/>
          <w:right w:w="108" w:type="dxa"/>
        </w:tblCellMar>
      </w:tblPr>
      <w:tblGrid>
        <w:gridCol w:w="2830"/>
        <w:gridCol w:w="6906"/>
      </w:tblGrid>
      <w:tr w14:paraId="6C035B7D">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jc w:val="center"/>
        </w:trPr>
        <w:tc>
          <w:tcPr>
            <w:tcW w:w="2830" w:type="dxa"/>
            <w:tcBorders>
              <w:top w:val="single" w:color="ED7D31" w:themeColor="accent2" w:sz="4" w:space="0"/>
              <w:left w:val="single" w:color="ED7D31" w:themeColor="accent2" w:sz="4" w:space="0"/>
              <w:bottom w:val="single" w:color="ED7D31" w:themeColor="accent2" w:sz="4" w:space="0"/>
              <w:right w:val="nil"/>
              <w:insideH w:val="single" w:sz="4" w:space="0"/>
              <w:insideV w:val="nil"/>
            </w:tcBorders>
            <w:shd w:val="clear" w:color="auto" w:fill="ED7D31" w:themeFill="accent2"/>
            <w:noWrap/>
          </w:tcPr>
          <w:p w14:paraId="0FC185A2">
            <w:pPr>
              <w:spacing w:line="360" w:lineRule="auto"/>
              <w:rPr>
                <w:b/>
                <w:bCs/>
                <w:color w:val="FFFFFF" w:themeColor="background1"/>
                <w14:textFill>
                  <w14:solidFill>
                    <w14:schemeClr w14:val="bg1"/>
                  </w14:solidFill>
                </w14:textFill>
              </w:rPr>
            </w:pPr>
            <w:r>
              <w:rPr>
                <w:rFonts w:hint="eastAsia"/>
                <w:b/>
                <w:bCs/>
                <w:color w:val="FFFFFF" w:themeColor="background1"/>
                <w14:textFill>
                  <w14:solidFill>
                    <w14:schemeClr w14:val="bg1"/>
                  </w14:solidFill>
                </w14:textFill>
              </w:rPr>
              <w:t>VELUX Group</w:t>
            </w:r>
          </w:p>
        </w:tc>
        <w:tc>
          <w:tcPr>
            <w:tcW w:w="6906" w:type="dxa"/>
            <w:tcBorders>
              <w:top w:val="single" w:color="ED7D31" w:themeColor="accent2" w:sz="4" w:space="0"/>
              <w:bottom w:val="single" w:color="ED7D31" w:themeColor="accent2" w:sz="4" w:space="0"/>
              <w:right w:val="single" w:color="ED7D31" w:themeColor="accent2" w:sz="4" w:space="0"/>
              <w:insideH w:val="single" w:sz="4" w:space="0"/>
              <w:insideV w:val="nil"/>
            </w:tcBorders>
            <w:shd w:val="clear" w:color="auto" w:fill="ED7D31" w:themeFill="accent2"/>
            <w:noWrap/>
          </w:tcPr>
          <w:p w14:paraId="0E303F91">
            <w:pPr>
              <w:spacing w:line="360" w:lineRule="auto"/>
              <w:rPr>
                <w:b/>
                <w:bCs/>
                <w:color w:val="FFFFFF" w:themeColor="background1"/>
                <w14:textFill>
                  <w14:solidFill>
                    <w14:schemeClr w14:val="bg1"/>
                  </w14:solidFill>
                </w14:textFill>
              </w:rPr>
            </w:pPr>
            <w:r>
              <w:rPr>
                <w:rFonts w:hint="eastAsia"/>
                <w:b/>
                <w:bCs/>
                <w:color w:val="FFFFFF" w:themeColor="background1"/>
                <w14:textFill>
                  <w14:solidFill>
                    <w14:schemeClr w14:val="bg1"/>
                  </w14:solidFill>
                </w14:textFill>
              </w:rPr>
              <w:t>描述</w:t>
            </w:r>
          </w:p>
        </w:tc>
      </w:tr>
      <w:tr w14:paraId="07EC8559">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jc w:val="center"/>
        </w:trPr>
        <w:tc>
          <w:tcPr>
            <w:tcW w:w="2830" w:type="dxa"/>
            <w:shd w:val="clear" w:color="auto" w:fill="FBE4D5" w:themeFill="accent2" w:themeFillTint="33"/>
            <w:noWrap/>
            <w:vAlign w:val="center"/>
          </w:tcPr>
          <w:p w14:paraId="57D9C4FE">
            <w:pPr>
              <w:spacing w:line="360" w:lineRule="auto"/>
              <w:rPr>
                <w:b/>
                <w:bCs/>
              </w:rPr>
            </w:pPr>
            <w:r>
              <w:rPr>
                <w:rFonts w:hint="eastAsia"/>
                <w:b/>
                <w:bCs/>
              </w:rPr>
              <w:t>企业介绍</w:t>
            </w:r>
          </w:p>
        </w:tc>
        <w:tc>
          <w:tcPr>
            <w:tcW w:w="6906" w:type="dxa"/>
            <w:shd w:val="clear" w:color="auto" w:fill="FBE4D5" w:themeFill="accent2" w:themeFillTint="33"/>
            <w:noWrap/>
          </w:tcPr>
          <w:p w14:paraId="58672468">
            <w:pPr>
              <w:widowControl/>
              <w:topLinePunct w:val="0"/>
              <w:spacing w:after="0"/>
              <w:jc w:val="left"/>
              <w:rPr>
                <w:rFonts w:hint="eastAsia"/>
              </w:rPr>
            </w:pPr>
            <w:r>
              <w:rPr>
                <w:rFonts w:hint="eastAsia"/>
              </w:rPr>
              <w:t>VELUX Group是一家源自丹麦的全球性建筑科技公司。作为现代屋顶窗的创造者和该领域的全球领导者，集团在全球40多个国家和地区设有分公司，致力于通过自然采光与自然通风解决方案改善室内环境。VELUX Group倡导Active House（主动式建筑）理念，为居住建筑、公共建筑及工业建筑提供环保、节能、健康的整体空间解决方案。</w:t>
            </w:r>
          </w:p>
        </w:tc>
      </w:tr>
      <w:tr w14:paraId="00883A60">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jc w:val="center"/>
        </w:trPr>
        <w:tc>
          <w:tcPr>
            <w:tcW w:w="2830" w:type="dxa"/>
            <w:noWrap/>
            <w:vAlign w:val="center"/>
          </w:tcPr>
          <w:p w14:paraId="17C45976">
            <w:pPr>
              <w:spacing w:line="360" w:lineRule="auto"/>
              <w:rPr>
                <w:b/>
                <w:bCs/>
              </w:rPr>
            </w:pPr>
            <w:r>
              <w:rPr>
                <w:rFonts w:hint="eastAsia"/>
                <w:b/>
                <w:bCs/>
              </w:rPr>
              <w:t>产品介绍</w:t>
            </w:r>
          </w:p>
        </w:tc>
        <w:tc>
          <w:tcPr>
            <w:tcW w:w="6906" w:type="dxa"/>
            <w:noWrap/>
          </w:tcPr>
          <w:p w14:paraId="62A8CB32">
            <w:pPr>
              <w:widowControl/>
              <w:topLinePunct w:val="0"/>
              <w:spacing w:after="0"/>
              <w:jc w:val="left"/>
              <w:rPr>
                <w:rFonts w:hint="eastAsia"/>
              </w:rPr>
            </w:pPr>
            <w:r>
              <w:rPr>
                <w:rFonts w:hint="eastAsia"/>
              </w:rPr>
              <w:t>VELUX Group的专业结构玻璃系统采用定制解决方案，为客户的天窗设计带来几乎无限的灵活性。结构玻璃采用全套可互换的铝型材，可打造各种形状和尺寸的天窗结构。VELUX Group商业提供全程项目支持，产品始终以设计、制造和安装解决方案的形式提供。</w:t>
            </w:r>
          </w:p>
        </w:tc>
      </w:tr>
    </w:tbl>
    <w:p w14:paraId="5A5E92C8">
      <w:pPr>
        <w:pStyle w:val="145"/>
        <w:rPr>
          <w:rFonts w:hint="eastAsia"/>
          <w:i/>
          <w:sz w:val="16"/>
          <w:lang w:eastAsia="zh-CN"/>
        </w:rPr>
      </w:pPr>
      <w:r>
        <w:rPr>
          <w:rFonts w:hint="eastAsia"/>
          <w:i/>
          <w:sz w:val="16"/>
          <w:lang w:eastAsia="zh-CN"/>
        </w:rPr>
        <w:t>来源：第三方资料、QYResearch研究团队</w:t>
      </w:r>
    </w:p>
    <w:p w14:paraId="1903E8FF">
      <w:pPr>
        <w:widowControl/>
        <w:topLinePunct w:val="0"/>
        <w:spacing w:after="0"/>
        <w:jc w:val="center"/>
        <w:rPr>
          <w:i/>
          <w:color w:val="0D0D0D" w:themeColor="text1" w:themeTint="F2"/>
          <w:kern w:val="0"/>
          <w:sz w:val="16"/>
          <w:szCs w:val="22"/>
          <w:lang w:val="en-IN"/>
          <w14:textFill>
            <w14:solidFill>
              <w14:schemeClr w14:val="tx1">
                <w14:lumMod w14:val="95000"/>
                <w14:lumOff w14:val="5000"/>
              </w14:schemeClr>
            </w14:solidFill>
          </w14:textFill>
        </w:rPr>
      </w:pPr>
    </w:p>
    <w:p w14:paraId="2C57352C">
      <w:pPr>
        <w:widowControl/>
        <w:topLinePunct w:val="0"/>
        <w:spacing w:after="0"/>
        <w:jc w:val="left"/>
        <w:rPr>
          <w:i/>
          <w:color w:val="0D0D0D" w:themeColor="text1" w:themeTint="F2"/>
          <w:kern w:val="0"/>
          <w:sz w:val="16"/>
          <w:szCs w:val="22"/>
          <w:lang w:val="en-IN"/>
          <w14:textFill>
            <w14:solidFill>
              <w14:schemeClr w14:val="tx1">
                <w14:lumMod w14:val="95000"/>
                <w14:lumOff w14:val="5000"/>
              </w14:schemeClr>
            </w14:solidFill>
          </w14:textFill>
        </w:rPr>
      </w:pPr>
      <w:r>
        <w:rPr>
          <w:rFonts w:hint="eastAsia" w:cs="Calibri"/>
          <w:b/>
          <w:color w:val="FF8200"/>
          <w:spacing w:val="-3"/>
          <w:sz w:val="24"/>
          <w:szCs w:val="40"/>
        </w:rPr>
        <w:t>企业3</w:t>
      </w:r>
    </w:p>
    <w:p w14:paraId="46A8B7F1">
      <w:pPr>
        <w:widowControl/>
        <w:topLinePunct w:val="0"/>
        <w:spacing w:after="0"/>
        <w:jc w:val="center"/>
        <w:rPr>
          <w:i/>
          <w:color w:val="0D0D0D" w:themeColor="text1" w:themeTint="F2"/>
          <w:kern w:val="0"/>
          <w:sz w:val="16"/>
          <w:szCs w:val="22"/>
          <w:lang w:val="en-IN"/>
          <w14:textFill>
            <w14:solidFill>
              <w14:schemeClr w14:val="tx1">
                <w14:lumMod w14:val="95000"/>
                <w14:lumOff w14:val="5000"/>
              </w14:schemeClr>
            </w14:solidFill>
          </w14:textFill>
        </w:rPr>
      </w:pPr>
      <w:r>
        <w:rPr>
          <w:rFonts w:hint="eastAsia"/>
          <w:i/>
          <w:color w:val="0D0D0D" w:themeColor="text1" w:themeTint="F2"/>
          <w:kern w:val="0"/>
          <w:sz w:val="16"/>
          <w:szCs w:val="22"/>
          <w:lang w:val="en-IN"/>
          <w14:textFill>
            <w14:solidFill>
              <w14:schemeClr w14:val="tx1">
                <w14:lumMod w14:val="95000"/>
                <w14:lumOff w14:val="5000"/>
              </w14:schemeClr>
            </w14:solidFill>
          </w14:textFill>
        </w:rPr>
        <w:drawing>
          <wp:inline distT="0" distB="0" distL="114300" distR="114300">
            <wp:extent cx="1571625" cy="582930"/>
            <wp:effectExtent l="0" t="0" r="0" b="7620"/>
            <wp:docPr id="3" name="图片 3" descr="eee79ca9-a255-4707-be19-3f8db4eaab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ee79ca9-a255-4707-be19-3f8db4eaab23"/>
                    <pic:cNvPicPr>
                      <a:picLocks noChangeAspect="1"/>
                    </pic:cNvPicPr>
                  </pic:nvPicPr>
                  <pic:blipFill>
                    <a:blip r:embed="rId12"/>
                    <a:stretch>
                      <a:fillRect/>
                    </a:stretch>
                  </pic:blipFill>
                  <pic:spPr>
                    <a:xfrm>
                      <a:off x="0" y="0"/>
                      <a:ext cx="1576313" cy="585024"/>
                    </a:xfrm>
                    <a:prstGeom prst="rect">
                      <a:avLst/>
                    </a:prstGeom>
                  </pic:spPr>
                </pic:pic>
              </a:graphicData>
            </a:graphic>
          </wp:inline>
        </w:drawing>
      </w:r>
    </w:p>
    <w:tbl>
      <w:tblPr>
        <w:tblStyle w:val="208"/>
        <w:tblW w:w="0" w:type="auto"/>
        <w:jc w:val="center"/>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Layout w:type="autofit"/>
        <w:tblCellMar>
          <w:top w:w="0" w:type="dxa"/>
          <w:left w:w="108" w:type="dxa"/>
          <w:bottom w:w="0" w:type="dxa"/>
          <w:right w:w="108" w:type="dxa"/>
        </w:tblCellMar>
      </w:tblPr>
      <w:tblGrid>
        <w:gridCol w:w="2830"/>
        <w:gridCol w:w="6906"/>
      </w:tblGrid>
      <w:tr w14:paraId="13F11CE6">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jc w:val="center"/>
        </w:trPr>
        <w:tc>
          <w:tcPr>
            <w:tcW w:w="2830" w:type="dxa"/>
            <w:tcBorders>
              <w:top w:val="single" w:color="ED7D31" w:themeColor="accent2" w:sz="4" w:space="0"/>
              <w:left w:val="single" w:color="ED7D31" w:themeColor="accent2" w:sz="4" w:space="0"/>
              <w:bottom w:val="single" w:color="ED7D31" w:themeColor="accent2" w:sz="4" w:space="0"/>
              <w:right w:val="nil"/>
              <w:insideH w:val="single" w:sz="4" w:space="0"/>
              <w:insideV w:val="nil"/>
            </w:tcBorders>
            <w:shd w:val="clear" w:color="auto" w:fill="ED7D31" w:themeFill="accent2"/>
            <w:noWrap/>
          </w:tcPr>
          <w:p w14:paraId="47C60A20">
            <w:pPr>
              <w:spacing w:line="360" w:lineRule="auto"/>
              <w:rPr>
                <w:b/>
                <w:bCs/>
                <w:color w:val="FFFFFF" w:themeColor="background1"/>
                <w14:textFill>
                  <w14:solidFill>
                    <w14:schemeClr w14:val="bg1"/>
                  </w14:solidFill>
                </w14:textFill>
              </w:rPr>
            </w:pPr>
            <w:r>
              <w:rPr>
                <w:rFonts w:hint="eastAsia"/>
                <w:b/>
                <w:bCs/>
                <w:color w:val="FFFFFF" w:themeColor="background1"/>
                <w14:textFill>
                  <w14:solidFill>
                    <w14:schemeClr w14:val="bg1"/>
                  </w14:solidFill>
                </w14:textFill>
              </w:rPr>
              <w:t>Seele</w:t>
            </w:r>
          </w:p>
        </w:tc>
        <w:tc>
          <w:tcPr>
            <w:tcW w:w="6906" w:type="dxa"/>
            <w:tcBorders>
              <w:top w:val="single" w:color="ED7D31" w:themeColor="accent2" w:sz="4" w:space="0"/>
              <w:bottom w:val="single" w:color="ED7D31" w:themeColor="accent2" w:sz="4" w:space="0"/>
              <w:right w:val="single" w:color="ED7D31" w:themeColor="accent2" w:sz="4" w:space="0"/>
              <w:insideH w:val="single" w:sz="4" w:space="0"/>
              <w:insideV w:val="nil"/>
            </w:tcBorders>
            <w:shd w:val="clear" w:color="auto" w:fill="ED7D31" w:themeFill="accent2"/>
            <w:noWrap/>
          </w:tcPr>
          <w:p w14:paraId="137F4119">
            <w:pPr>
              <w:spacing w:line="360" w:lineRule="auto"/>
              <w:rPr>
                <w:b/>
                <w:bCs/>
                <w:color w:val="FFFFFF" w:themeColor="background1"/>
                <w14:textFill>
                  <w14:solidFill>
                    <w14:schemeClr w14:val="bg1"/>
                  </w14:solidFill>
                </w14:textFill>
              </w:rPr>
            </w:pPr>
            <w:r>
              <w:rPr>
                <w:rFonts w:hint="eastAsia"/>
                <w:b/>
                <w:bCs/>
                <w:color w:val="FFFFFF" w:themeColor="background1"/>
                <w14:textFill>
                  <w14:solidFill>
                    <w14:schemeClr w14:val="bg1"/>
                  </w14:solidFill>
                </w14:textFill>
              </w:rPr>
              <w:t>描述</w:t>
            </w:r>
          </w:p>
        </w:tc>
      </w:tr>
      <w:tr w14:paraId="5FF7057C">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jc w:val="center"/>
        </w:trPr>
        <w:tc>
          <w:tcPr>
            <w:tcW w:w="2830" w:type="dxa"/>
            <w:shd w:val="clear" w:color="auto" w:fill="FBE4D5" w:themeFill="accent2" w:themeFillTint="33"/>
            <w:noWrap/>
            <w:vAlign w:val="center"/>
          </w:tcPr>
          <w:p w14:paraId="23EE5B9A">
            <w:pPr>
              <w:spacing w:line="360" w:lineRule="auto"/>
              <w:rPr>
                <w:b/>
                <w:bCs/>
              </w:rPr>
            </w:pPr>
            <w:r>
              <w:rPr>
                <w:rFonts w:hint="eastAsia"/>
                <w:b/>
                <w:bCs/>
              </w:rPr>
              <w:t>企业介绍</w:t>
            </w:r>
          </w:p>
        </w:tc>
        <w:tc>
          <w:tcPr>
            <w:tcW w:w="6906" w:type="dxa"/>
            <w:shd w:val="clear" w:color="auto" w:fill="FBE4D5" w:themeFill="accent2" w:themeFillTint="33"/>
            <w:noWrap/>
          </w:tcPr>
          <w:p w14:paraId="0A3CF7B1">
            <w:pPr>
              <w:widowControl/>
              <w:topLinePunct w:val="0"/>
              <w:spacing w:after="0"/>
              <w:jc w:val="left"/>
              <w:rPr>
                <w:rFonts w:hint="eastAsia"/>
              </w:rPr>
            </w:pPr>
            <w:r>
              <w:rPr>
                <w:rFonts w:hint="eastAsia"/>
              </w:rPr>
              <w:t>Seele是一家源自德国的高端建筑结构与幕墙工程公司，在特种玻璃和钢结构领域以创新技术、精密制造和卓越质量闻名于世。该公司专注于为全球各地的地标性建筑提供定制化的外墙和结构玻璃解决方案。</w:t>
            </w:r>
          </w:p>
        </w:tc>
      </w:tr>
      <w:tr w14:paraId="18BA58B5">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jc w:val="center"/>
        </w:trPr>
        <w:tc>
          <w:tcPr>
            <w:tcW w:w="2830" w:type="dxa"/>
            <w:noWrap/>
            <w:vAlign w:val="center"/>
          </w:tcPr>
          <w:p w14:paraId="229A4B21">
            <w:pPr>
              <w:spacing w:line="360" w:lineRule="auto"/>
              <w:rPr>
                <w:b/>
                <w:bCs/>
              </w:rPr>
            </w:pPr>
            <w:r>
              <w:rPr>
                <w:rFonts w:hint="eastAsia"/>
                <w:b/>
                <w:bCs/>
              </w:rPr>
              <w:t>产品介绍</w:t>
            </w:r>
          </w:p>
        </w:tc>
        <w:tc>
          <w:tcPr>
            <w:tcW w:w="6906" w:type="dxa"/>
            <w:noWrap/>
          </w:tcPr>
          <w:p w14:paraId="1440E5BE">
            <w:pPr>
              <w:widowControl/>
              <w:topLinePunct w:val="0"/>
              <w:spacing w:after="0"/>
              <w:jc w:val="left"/>
              <w:rPr>
                <w:rFonts w:hint="eastAsia"/>
              </w:rPr>
            </w:pPr>
            <w:r>
              <w:rPr>
                <w:rFonts w:hint="eastAsia"/>
              </w:rPr>
              <w:t>在结构玻璃屋顶方面，Seele的核心能力体现在其能够设计和制造超大尺寸、极高透明度且结构性能卓越的定制化玻璃系统。该公司曾负责苹果新总部（Apple Park）的建筑玻璃供应，该项目包含了全球最大的曲面结构玻璃之一。为了完成这一挑战，Seele及其附属公司Sedak专门开发了特殊工艺和全新机器，以生产长达14米的巨型曲面玻璃板。这些玻璃面板在高压蒸汽环境中经高温塑形，不仅实现了建筑设计的极简美学和水晶般的通透感，同时具备了抗高温、不易破碎的坚固特性，完美融合了视觉冲击力与结构可靠性。</w:t>
            </w:r>
          </w:p>
        </w:tc>
      </w:tr>
    </w:tbl>
    <w:p w14:paraId="1301D145">
      <w:pPr>
        <w:pStyle w:val="145"/>
        <w:rPr>
          <w:rFonts w:hint="eastAsia"/>
          <w:i/>
          <w:sz w:val="16"/>
          <w:lang w:eastAsia="zh-CN"/>
        </w:rPr>
      </w:pPr>
      <w:r>
        <w:rPr>
          <w:rFonts w:hint="eastAsia"/>
          <w:i/>
          <w:sz w:val="16"/>
          <w:lang w:eastAsia="zh-CN"/>
        </w:rPr>
        <w:t>来源：第三方资料、QYResearch研究团队</w:t>
      </w:r>
    </w:p>
    <w:p w14:paraId="0D0D0ED5">
      <w:pPr>
        <w:widowControl/>
        <w:topLinePunct w:val="0"/>
        <w:spacing w:after="0"/>
        <w:jc w:val="center"/>
        <w:rPr>
          <w:i/>
          <w:color w:val="0D0D0D" w:themeColor="text1" w:themeTint="F2"/>
          <w:kern w:val="0"/>
          <w:sz w:val="16"/>
          <w:szCs w:val="22"/>
          <w:lang w:val="en-IN"/>
          <w14:textFill>
            <w14:solidFill>
              <w14:schemeClr w14:val="tx1">
                <w14:lumMod w14:val="95000"/>
                <w14:lumOff w14:val="5000"/>
              </w14:schemeClr>
            </w14:solidFill>
          </w14:textFill>
        </w:rPr>
      </w:pPr>
    </w:p>
    <w:p w14:paraId="5C2C2A3A">
      <w:pPr>
        <w:pStyle w:val="145"/>
        <w:rPr>
          <w:lang w:val="en-US" w:eastAsia="zh-CN"/>
        </w:rPr>
      </w:pPr>
      <w:r>
        <w:rPr>
          <w:rFonts w:hint="eastAsia" w:cs="Calibri"/>
          <w:b/>
          <w:color w:val="FF8200"/>
          <w:spacing w:val="-3"/>
          <w:sz w:val="24"/>
          <w:szCs w:val="40"/>
          <w:lang w:val="en-US" w:eastAsia="zh-CN"/>
          <w14:textFill>
            <w14:solidFill>
              <w14:srgbClr w14:val="FF8200">
                <w14:lumMod w14:val="95000"/>
                <w14:lumOff w14:val="5000"/>
              </w14:srgbClr>
            </w14:solidFill>
          </w14:textFill>
        </w:rPr>
        <w:t>三、结构玻璃屋顶产业链分析</w:t>
      </w:r>
    </w:p>
    <w:tbl>
      <w:tblPr>
        <w:tblStyle w:val="205"/>
        <w:tblW w:w="0" w:type="auto"/>
        <w:tblInd w:w="0" w:type="dxa"/>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Layout w:type="autofit"/>
        <w:tblCellMar>
          <w:top w:w="0" w:type="dxa"/>
          <w:left w:w="108" w:type="dxa"/>
          <w:bottom w:w="0" w:type="dxa"/>
          <w:right w:w="108" w:type="dxa"/>
        </w:tblCellMar>
      </w:tblPr>
      <w:tblGrid>
        <w:gridCol w:w="1770"/>
        <w:gridCol w:w="7966"/>
      </w:tblGrid>
      <w:tr w14:paraId="66BCCE6C">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770" w:type="dxa"/>
            <w:tcBorders>
              <w:top w:val="single" w:color="ED7D31" w:themeColor="accent2" w:sz="4" w:space="0"/>
              <w:left w:val="single" w:color="ED7D31" w:themeColor="accent2" w:sz="4" w:space="0"/>
              <w:bottom w:val="single" w:color="ED7D31" w:themeColor="accent2" w:sz="4" w:space="0"/>
              <w:right w:val="nil"/>
              <w:insideH w:val="single" w:sz="4" w:space="0"/>
              <w:insideV w:val="nil"/>
            </w:tcBorders>
            <w:shd w:val="clear" w:color="auto" w:fill="ED7D31" w:themeFill="accent2"/>
            <w:noWrap/>
          </w:tcPr>
          <w:p w14:paraId="255CCA70">
            <w:pPr>
              <w:spacing w:line="360" w:lineRule="auto"/>
              <w:rPr>
                <w:b w:val="0"/>
                <w:bCs w:val="0"/>
                <w:color w:val="FFFFFF" w:themeColor="background1"/>
                <w14:textFill>
                  <w14:solidFill>
                    <w14:schemeClr w14:val="bg1"/>
                  </w14:solidFill>
                </w14:textFill>
              </w:rPr>
            </w:pPr>
            <w:r>
              <w:rPr>
                <w:rFonts w:hint="eastAsia"/>
                <w:b/>
                <w:bCs/>
                <w:color w:val="FFFFFF" w:themeColor="background1"/>
                <w14:textFill>
                  <w14:solidFill>
                    <w14:schemeClr w14:val="bg1"/>
                  </w14:solidFill>
                </w14:textFill>
              </w:rPr>
              <w:t>产业链</w:t>
            </w:r>
          </w:p>
        </w:tc>
        <w:tc>
          <w:tcPr>
            <w:tcW w:w="7966" w:type="dxa"/>
            <w:tcBorders>
              <w:top w:val="single" w:color="ED7D31" w:themeColor="accent2" w:sz="4" w:space="0"/>
              <w:bottom w:val="single" w:color="ED7D31" w:themeColor="accent2" w:sz="4" w:space="0"/>
              <w:right w:val="single" w:color="ED7D31" w:themeColor="accent2" w:sz="4" w:space="0"/>
              <w:insideH w:val="single" w:sz="4" w:space="0"/>
              <w:insideV w:val="nil"/>
            </w:tcBorders>
            <w:shd w:val="clear" w:color="auto" w:fill="ED7D31" w:themeFill="accent2"/>
            <w:noWrap/>
          </w:tcPr>
          <w:p w14:paraId="73CEFC95">
            <w:pPr>
              <w:spacing w:line="360" w:lineRule="auto"/>
              <w:rPr>
                <w:b w:val="0"/>
                <w:bCs w:val="0"/>
                <w:color w:val="FFFFFF" w:themeColor="background1"/>
                <w14:textFill>
                  <w14:solidFill>
                    <w14:schemeClr w14:val="bg1"/>
                  </w14:solidFill>
                </w14:textFill>
              </w:rPr>
            </w:pPr>
            <w:r>
              <w:rPr>
                <w:rFonts w:hint="eastAsia"/>
                <w:b/>
                <w:bCs/>
                <w:color w:val="FFFFFF" w:themeColor="background1"/>
                <w14:textFill>
                  <w14:solidFill>
                    <w14:schemeClr w14:val="bg1"/>
                  </w14:solidFill>
                </w14:textFill>
              </w:rPr>
              <w:t>描述</w:t>
            </w:r>
          </w:p>
        </w:tc>
      </w:tr>
      <w:tr w14:paraId="34F024F3">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770" w:type="dxa"/>
            <w:shd w:val="clear" w:color="auto" w:fill="FBE4D5" w:themeFill="accent2" w:themeFillTint="33"/>
            <w:noWrap/>
          </w:tcPr>
          <w:p w14:paraId="7447ED75">
            <w:pPr>
              <w:spacing w:line="360" w:lineRule="auto"/>
              <w:rPr>
                <w:b w:val="0"/>
                <w:bCs w:val="0"/>
              </w:rPr>
            </w:pPr>
            <w:r>
              <w:rPr>
                <w:rFonts w:hint="eastAsia"/>
                <w:b/>
                <w:bCs/>
              </w:rPr>
              <w:t>上游</w:t>
            </w:r>
          </w:p>
        </w:tc>
        <w:tc>
          <w:tcPr>
            <w:tcW w:w="7966" w:type="dxa"/>
            <w:shd w:val="clear" w:color="auto" w:fill="FBE4D5" w:themeFill="accent2" w:themeFillTint="33"/>
            <w:noWrap/>
          </w:tcPr>
          <w:p w14:paraId="066D94BF">
            <w:pPr>
              <w:spacing w:line="360" w:lineRule="auto"/>
              <w:rPr>
                <w:szCs w:val="22"/>
              </w:rPr>
            </w:pPr>
            <w:r>
              <w:rPr>
                <w:rFonts w:hint="eastAsia"/>
                <w:szCs w:val="22"/>
              </w:rPr>
              <w:t>上游是结构玻璃屋顶的原材料与基础建材供应商，主要包括用于生产高强度建筑玻璃的石英砂、纯碱、白云石等矿物原料，以及深加工所需的中间材料如PVB或SGP胶片、金属连接件、密封胶、以及用于辅助支撑结构的钢材、铝材等，这些原材料的品质直接决定了最终产品的性能与安全性。</w:t>
            </w:r>
          </w:p>
        </w:tc>
      </w:tr>
      <w:tr w14:paraId="10EC3C1D">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Ex>
        <w:trPr>
          <w:trHeight w:val="270" w:hRule="atLeast"/>
        </w:trPr>
        <w:tc>
          <w:tcPr>
            <w:tcW w:w="1770" w:type="dxa"/>
            <w:noWrap/>
          </w:tcPr>
          <w:p w14:paraId="7BC655A4">
            <w:pPr>
              <w:spacing w:line="360" w:lineRule="auto"/>
              <w:rPr>
                <w:b w:val="0"/>
                <w:bCs w:val="0"/>
              </w:rPr>
            </w:pPr>
            <w:r>
              <w:rPr>
                <w:rFonts w:hint="eastAsia"/>
                <w:b/>
                <w:bCs/>
              </w:rPr>
              <w:t>中游</w:t>
            </w:r>
          </w:p>
        </w:tc>
        <w:tc>
          <w:tcPr>
            <w:tcW w:w="7966" w:type="dxa"/>
            <w:noWrap/>
          </w:tcPr>
          <w:p w14:paraId="02D06CD8">
            <w:pPr>
              <w:spacing w:line="360" w:lineRule="auto"/>
              <w:rPr>
                <w:szCs w:val="22"/>
              </w:rPr>
            </w:pPr>
            <w:r>
              <w:rPr>
                <w:rFonts w:hint="eastAsia"/>
                <w:szCs w:val="22"/>
              </w:rPr>
              <w:t>中游是结构玻璃屋顶的核心制造、设计与集成环节，负责将上游的原材料转化为系统组件。这一环节包括建筑设计与工程公司的结构及美学设计，玻璃深加工企业将原片玻璃进行钢化、夹层、镀膜等工艺处理成符合安全规范的结构玻璃单元，以及金属构件厂生产专用的支撑框架和连接件，最终由专业承包商将这些部件集成为一套完整、可靠的屋顶系统。</w:t>
            </w:r>
          </w:p>
        </w:tc>
      </w:tr>
      <w:tr w14:paraId="50A5B95D">
        <w:tblPrEx>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PrEx>
        <w:trPr>
          <w:trHeight w:val="270" w:hRule="atLeast"/>
        </w:trPr>
        <w:tc>
          <w:tcPr>
            <w:tcW w:w="1770" w:type="dxa"/>
            <w:shd w:val="clear" w:color="auto" w:fill="FBE4D5" w:themeFill="accent2" w:themeFillTint="33"/>
            <w:noWrap/>
          </w:tcPr>
          <w:p w14:paraId="51CAED5E">
            <w:pPr>
              <w:spacing w:line="360" w:lineRule="auto"/>
              <w:rPr>
                <w:b w:val="0"/>
                <w:bCs w:val="0"/>
              </w:rPr>
            </w:pPr>
            <w:r>
              <w:rPr>
                <w:rFonts w:hint="eastAsia"/>
                <w:b/>
                <w:bCs/>
              </w:rPr>
              <w:t>下游</w:t>
            </w:r>
          </w:p>
        </w:tc>
        <w:tc>
          <w:tcPr>
            <w:tcW w:w="7966" w:type="dxa"/>
            <w:shd w:val="clear" w:color="auto" w:fill="FBE4D5" w:themeFill="accent2" w:themeFillTint="33"/>
            <w:noWrap/>
          </w:tcPr>
          <w:p w14:paraId="71010EE7">
            <w:pPr>
              <w:spacing w:line="360" w:lineRule="auto"/>
              <w:rPr>
                <w:szCs w:val="22"/>
              </w:rPr>
            </w:pPr>
            <w:r>
              <w:rPr>
                <w:rFonts w:hint="eastAsia"/>
                <w:szCs w:val="22"/>
              </w:rPr>
              <w:t>下游是结构玻璃屋顶的最终应用与实施领域，主要集中在各类大型公共建筑和高端商业项目的投资与建设。这些完工的玻璃屋顶系统被直接应用于机场航站楼、火车站、体育场馆、博物馆、商业综合体等建筑的采光顶及大型天幕，旨在创造通透明亮的室内空间，并成为标志性的建筑美学符号，其施工质量与性能关乎建筑的整体形象与使用安全。</w:t>
            </w:r>
          </w:p>
        </w:tc>
      </w:tr>
    </w:tbl>
    <w:p w14:paraId="00C511F6">
      <w:pPr>
        <w:pStyle w:val="145"/>
        <w:rPr>
          <w:i/>
          <w:sz w:val="16"/>
          <w:lang w:eastAsia="zh-CN"/>
        </w:rPr>
      </w:pPr>
      <w:r>
        <w:rPr>
          <w:rFonts w:hint="eastAsia"/>
          <w:i/>
          <w:sz w:val="16"/>
          <w:lang w:eastAsia="zh-CN"/>
        </w:rPr>
        <w:t>来源：第三方资料、QYResearch研究团队</w:t>
      </w:r>
      <w:bookmarkStart w:id="17" w:name="_Hlk208567968"/>
    </w:p>
    <w:bookmarkEnd w:id="17"/>
    <w:p w14:paraId="234EB06F">
      <w:pPr>
        <w:widowControl/>
        <w:topLinePunct w:val="0"/>
        <w:spacing w:after="0"/>
        <w:jc w:val="left"/>
        <w:rPr>
          <w:i/>
          <w:color w:val="0D0D0D" w:themeColor="text1" w:themeTint="F2"/>
          <w:kern w:val="0"/>
          <w:sz w:val="16"/>
          <w:szCs w:val="22"/>
          <w:lang w:val="en-IN"/>
          <w14:textFill>
            <w14:solidFill>
              <w14:schemeClr w14:val="tx1">
                <w14:lumMod w14:val="95000"/>
                <w14:lumOff w14:val="5000"/>
              </w14:schemeClr>
            </w14:solidFill>
          </w14:textFill>
        </w:rPr>
      </w:pPr>
      <w:bookmarkStart w:id="18" w:name="_Hlk208567978"/>
      <w:r>
        <w:rPr>
          <w:rFonts w:hint="eastAsia" w:cs="Calibri"/>
          <w:b/>
          <w:color w:val="FF8200"/>
          <w:spacing w:val="-3"/>
          <w:sz w:val="24"/>
          <w:szCs w:val="40"/>
        </w:rPr>
        <w:t>四、结构玻璃屋顶行业发展趋势、机遇、阻碍因素和行业壁垒</w:t>
      </w:r>
    </w:p>
    <w:p w14:paraId="1CD3504B">
      <w:pPr>
        <w:pStyle w:val="145"/>
        <w:rPr>
          <w:rStyle w:val="152"/>
          <w:rFonts w:hint="eastAsia"/>
          <w:lang w:eastAsia="zh-CN"/>
        </w:rPr>
      </w:pPr>
      <w:r>
        <w:rPr>
          <w:rStyle w:val="152"/>
          <w:rFonts w:hint="eastAsia"/>
          <w:lang w:eastAsia="zh-CN"/>
        </w:rPr>
        <w:t>发展趋势：</w:t>
      </w:r>
    </w:p>
    <w:p w14:paraId="71BC148A">
      <w:pPr>
        <w:widowControl/>
        <w:topLinePunct w:val="0"/>
        <w:spacing w:after="0"/>
        <w:jc w:val="left"/>
      </w:pPr>
      <w:r>
        <w:rPr>
          <w:rFonts w:hint="eastAsia"/>
        </w:rPr>
        <w:t>1.技术迭代加速。随着材料科学的突破，结构玻璃屋顶正从单一功能向复合价值跃迁。</w:t>
      </w:r>
    </w:p>
    <w:p w14:paraId="576CD8AC">
      <w:pPr>
        <w:widowControl/>
        <w:topLinePunct w:val="0"/>
        <w:spacing w:after="0"/>
        <w:jc w:val="left"/>
      </w:pPr>
      <w:r>
        <w:rPr>
          <w:rFonts w:hint="eastAsia"/>
        </w:rPr>
        <w:t>2.智能化集成。智能调光玻璃通过电致变色技术实现0.1秒级响应，结合物联网传感器可动态调节室内光线与温度。</w:t>
      </w:r>
    </w:p>
    <w:p w14:paraId="05C11B53">
      <w:pPr>
        <w:widowControl/>
        <w:topLinePunct w:val="0"/>
        <w:spacing w:after="0"/>
        <w:jc w:val="left"/>
      </w:pPr>
      <w:r>
        <w:rPr>
          <w:rFonts w:hint="eastAsia"/>
        </w:rPr>
        <w:t>3.应用场景多元化。结构玻璃屋顶从商业建筑向交通枢纽、数据中心等新兴领域渗透。</w:t>
      </w:r>
    </w:p>
    <w:p w14:paraId="5C41F4A6">
      <w:pPr>
        <w:pStyle w:val="145"/>
        <w:rPr>
          <w:rStyle w:val="152"/>
          <w:rFonts w:hint="eastAsia"/>
          <w:lang w:eastAsia="zh-CN"/>
        </w:rPr>
      </w:pPr>
      <w:r>
        <w:rPr>
          <w:rStyle w:val="152"/>
          <w:rFonts w:hint="eastAsia"/>
          <w:lang w:eastAsia="zh-CN"/>
        </w:rPr>
        <w:t>发展机遇：</w:t>
      </w:r>
    </w:p>
    <w:p w14:paraId="695378AB">
      <w:pPr>
        <w:pStyle w:val="145"/>
        <w:rPr>
          <w:lang w:eastAsia="zh-CN"/>
        </w:rPr>
      </w:pPr>
      <w:r>
        <w:rPr>
          <w:rFonts w:hint="eastAsia"/>
          <w:lang w:eastAsia="zh-CN"/>
        </w:rPr>
        <w:t>1.新兴市场崛起。东南亚、中东地区基础设施投资激增，RCEP框架下东盟高端玻璃制品进口需求年增23%。印度“智慧城市”计划预计2030年新增玻璃屋顶需求超500万平方米，中国企业通过马来西亚、印度基地规避贸易壁垒，辐射南亚市场。</w:t>
      </w:r>
    </w:p>
    <w:p w14:paraId="42491555">
      <w:pPr>
        <w:pStyle w:val="145"/>
        <w:rPr>
          <w:lang w:eastAsia="zh-CN"/>
        </w:rPr>
      </w:pPr>
      <w:r>
        <w:rPr>
          <w:rFonts w:hint="eastAsia"/>
          <w:lang w:eastAsia="zh-CN"/>
        </w:rPr>
        <w:t>2.消费升级驱动。高端住宅项目结构玻璃屋顶使用率增加，推动结构玻璃屋顶行业发展。</w:t>
      </w:r>
    </w:p>
    <w:p w14:paraId="08C43639">
      <w:pPr>
        <w:pStyle w:val="145"/>
        <w:rPr>
          <w:lang w:eastAsia="zh-CN"/>
        </w:rPr>
      </w:pPr>
      <w:r>
        <w:rPr>
          <w:rStyle w:val="152"/>
          <w:rFonts w:hint="eastAsia"/>
          <w:lang w:eastAsia="zh-CN"/>
        </w:rPr>
        <w:t>阻碍因素：</w:t>
      </w:r>
    </w:p>
    <w:p w14:paraId="6A60E21A">
      <w:pPr>
        <w:pStyle w:val="145"/>
        <w:rPr>
          <w:lang w:eastAsia="zh-CN"/>
        </w:rPr>
      </w:pPr>
      <w:r>
        <w:rPr>
          <w:rFonts w:hint="eastAsia"/>
          <w:lang w:eastAsia="zh-CN"/>
        </w:rPr>
        <w:t>1.原材料价格波动。纯碱价格2024年振幅达40%，导致生产成本不稳定。地缘政治冲突可能引发石英砂%断供风险。欧盟碳关税推高出口成本，每平方米玻璃需缴纳碳税超5美元，压缩利润空间。</w:t>
      </w:r>
    </w:p>
    <w:p w14:paraId="21CEDE88">
      <w:pPr>
        <w:widowControl/>
        <w:topLinePunct w:val="0"/>
        <w:spacing w:after="0"/>
        <w:jc w:val="left"/>
        <w:rPr>
          <w:rStyle w:val="152"/>
          <w:rFonts w:hint="eastAsia"/>
          <w:lang w:eastAsia="zh-CN"/>
        </w:rPr>
      </w:pPr>
    </w:p>
    <w:p w14:paraId="183BCE24">
      <w:pPr>
        <w:widowControl/>
        <w:topLinePunct w:val="0"/>
        <w:spacing w:after="0"/>
        <w:jc w:val="left"/>
        <w:rPr>
          <w:color w:val="0D0D0D" w:themeColor="text1" w:themeTint="F2"/>
          <w:kern w:val="0"/>
          <w:szCs w:val="22"/>
          <w:lang w:val="en-IN"/>
          <w14:textFill>
            <w14:solidFill>
              <w14:schemeClr w14:val="tx1">
                <w14:lumMod w14:val="95000"/>
                <w14:lumOff w14:val="5000"/>
              </w14:schemeClr>
            </w14:solidFill>
          </w14:textFill>
        </w:rPr>
      </w:pPr>
      <w:r>
        <w:rPr>
          <w:rStyle w:val="152"/>
          <w:rFonts w:hint="eastAsia"/>
          <w:lang w:eastAsia="zh-CN"/>
        </w:rPr>
        <w:t>壁垒：</w:t>
      </w:r>
    </w:p>
    <w:bookmarkEnd w:id="18"/>
    <w:p w14:paraId="49600089">
      <w:pPr>
        <w:pStyle w:val="145"/>
        <w:rPr>
          <w:lang w:eastAsia="zh-CN"/>
        </w:rPr>
      </w:pPr>
      <w:r>
        <w:rPr>
          <w:rFonts w:hint="eastAsia"/>
          <w:lang w:eastAsia="zh-CN"/>
        </w:rPr>
        <w:t>1.资金壁垒。单条结构玻璃屋顶生产线投资较高，资金回笼周期较长，中小企业难以进入。</w:t>
      </w:r>
    </w:p>
    <w:p w14:paraId="03017039">
      <w:pPr>
        <w:pStyle w:val="145"/>
        <w:rPr>
          <w:lang w:eastAsia="zh-CN"/>
        </w:rPr>
      </w:pPr>
      <w:r>
        <w:rPr>
          <w:rFonts w:hint="eastAsia"/>
          <w:lang w:eastAsia="zh-CN"/>
        </w:rPr>
        <w:t>2.客户认证壁垒。结构玻璃屋顶需获得多项国际认证，检测项目包括抗风压、水密性等12项指标，新企业难以突破。</w:t>
      </w:r>
    </w:p>
    <w:bookmarkEnd w:id="0"/>
    <w:bookmarkEnd w:id="1"/>
    <w:bookmarkEnd w:id="2"/>
    <w:bookmarkEnd w:id="3"/>
    <w:bookmarkEnd w:id="4"/>
    <w:bookmarkEnd w:id="5"/>
    <w:bookmarkEnd w:id="6"/>
    <w:bookmarkEnd w:id="7"/>
    <w:bookmarkEnd w:id="8"/>
    <w:bookmarkEnd w:id="9"/>
    <w:bookmarkEnd w:id="10"/>
    <w:bookmarkEnd w:id="11"/>
    <w:bookmarkEnd w:id="12"/>
    <w:p w14:paraId="51A2DCD9">
      <w:pPr>
        <w:pStyle w:val="145"/>
        <w:rPr>
          <w:lang w:eastAsia="zh-CN"/>
        </w:rPr>
      </w:pPr>
      <w:bookmarkStart w:id="25" w:name="_GoBack"/>
      <w:bookmarkEnd w:id="25"/>
    </w:p>
    <w:sectPr>
      <w:headerReference r:id="rId6" w:type="first"/>
      <w:headerReference r:id="rId4" w:type="default"/>
      <w:footerReference r:id="rId7" w:type="default"/>
      <w:headerReference r:id="rId5" w:type="even"/>
      <w:pgSz w:w="11906" w:h="16838"/>
      <w:pgMar w:top="1440" w:right="1080" w:bottom="1440" w:left="1080" w:header="709" w:footer="567"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835CD0">
    <w:pPr>
      <w:pStyle w:val="21"/>
      <w:jc w:val="center"/>
    </w:pPr>
    <w:bookmarkStart w:id="19" w:name="_Hlk149300688"/>
    <w:bookmarkStart w:id="20" w:name="_Hlk149300689"/>
    <w:bookmarkStart w:id="21" w:name="_Hlk149300691"/>
    <w:bookmarkStart w:id="22" w:name="_Hlk149300692"/>
    <w:bookmarkStart w:id="23" w:name="_Hlk149300690"/>
    <w:bookmarkStart w:id="24" w:name="_Hlk149300687"/>
    <w:r>
      <w:t xml:space="preserve">Copyright © QYResearch | market@qyresearch.com | </w:t>
    </w:r>
    <w:bookmarkEnd w:id="19"/>
    <w:bookmarkEnd w:id="20"/>
    <w:bookmarkEnd w:id="21"/>
    <w:bookmarkEnd w:id="22"/>
    <w:bookmarkEnd w:id="23"/>
    <w:bookmarkEnd w:id="24"/>
    <w:r>
      <w:t>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499A8E">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12738737">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12738737">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38BAE4F8">
    <w:pPr>
      <w:pStyle w:val="22"/>
      <w:pBdr>
        <w:bottom w:val="none" w:color="auto" w:sz="0" w:space="0"/>
      </w:pBdr>
      <w:jc w:val="both"/>
    </w:pPr>
  </w:p>
  <w:p w14:paraId="74EEDE73">
    <w:pPr>
      <w:pStyle w:val="22"/>
      <w:pBdr>
        <w:bottom w:val="none" w:color="auto" w:sz="0" w:space="0"/>
      </w:pBdr>
      <w:jc w:val="both"/>
    </w:pPr>
  </w:p>
  <w:p w14:paraId="0AD8D240">
    <w:pPr>
      <w:pStyle w:val="22"/>
      <w:pBdr>
        <w:bottom w:val="none" w:color="auto" w:sz="0" w:space="0"/>
      </w:pBdr>
      <w:jc w:val="both"/>
    </w:pPr>
  </w:p>
  <w:p w14:paraId="3B068717">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00D08E">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717365">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641" w:hanging="357"/>
      </w:pPr>
      <w:rPr>
        <w:rFonts w:hint="eastAsia"/>
      </w:rPr>
    </w:lvl>
    <w:lvl w:ilvl="1" w:tentative="0">
      <w:start w:val="1"/>
      <w:numFmt w:val="lowerLetter"/>
      <w:lvlText w:val="%2)"/>
      <w:lvlJc w:val="left"/>
      <w:pPr>
        <w:ind w:left="1124"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rPr>
    </w:lvl>
    <w:lvl w:ilvl="3" w:tentative="0">
      <w:start w:val="1"/>
      <w:numFmt w:val="decimal"/>
      <w:lvlText w:val="%4."/>
      <w:lvlJc w:val="left"/>
      <w:pPr>
        <w:ind w:left="1964" w:hanging="420"/>
      </w:pPr>
      <w:rPr>
        <w:rFonts w:hint="eastAsia"/>
      </w:rPr>
    </w:lvl>
    <w:lvl w:ilvl="4" w:tentative="0">
      <w:start w:val="1"/>
      <w:numFmt w:val="lowerLetter"/>
      <w:lvlText w:val="%5)"/>
      <w:lvlJc w:val="left"/>
      <w:pPr>
        <w:ind w:left="2384" w:hanging="420"/>
      </w:pPr>
      <w:rPr>
        <w:rFonts w:hint="eastAsia"/>
      </w:rPr>
    </w:lvl>
    <w:lvl w:ilvl="5" w:tentative="0">
      <w:start w:val="1"/>
      <w:numFmt w:val="lowerRoman"/>
      <w:lvlText w:val="%6."/>
      <w:lvlJc w:val="right"/>
      <w:pPr>
        <w:ind w:left="2804" w:hanging="420"/>
      </w:pPr>
      <w:rPr>
        <w:rFonts w:hint="eastAsia"/>
      </w:rPr>
    </w:lvl>
    <w:lvl w:ilvl="6" w:tentative="0">
      <w:start w:val="1"/>
      <w:numFmt w:val="decimal"/>
      <w:lvlText w:val="%7."/>
      <w:lvlJc w:val="left"/>
      <w:pPr>
        <w:ind w:left="3224" w:hanging="420"/>
      </w:pPr>
      <w:rPr>
        <w:rFonts w:hint="eastAsia"/>
      </w:rPr>
    </w:lvl>
    <w:lvl w:ilvl="7" w:tentative="0">
      <w:start w:val="1"/>
      <w:numFmt w:val="lowerLetter"/>
      <w:lvlText w:val="%8)"/>
      <w:lvlJc w:val="left"/>
      <w:pPr>
        <w:ind w:left="3644" w:hanging="420"/>
      </w:pPr>
      <w:rPr>
        <w:rFonts w:hint="eastAsia"/>
      </w:rPr>
    </w:lvl>
    <w:lvl w:ilvl="8" w:tentative="0">
      <w:start w:val="1"/>
      <w:numFmt w:val="lowerRoman"/>
      <w:lvlText w:val="%9."/>
      <w:lvlJc w:val="right"/>
      <w:pPr>
        <w:ind w:left="4064"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57"/>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C17"/>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3E"/>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A6A"/>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715"/>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B1A"/>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6E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885"/>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33F"/>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C99"/>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228"/>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36E"/>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053"/>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49"/>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9A7"/>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228"/>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C7C"/>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159"/>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52A"/>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8D1"/>
    <w:rsid w:val="0037795A"/>
    <w:rsid w:val="00377F73"/>
    <w:rsid w:val="00377FB0"/>
    <w:rsid w:val="00380466"/>
    <w:rsid w:val="003806BB"/>
    <w:rsid w:val="003807C1"/>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BD"/>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2"/>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1F"/>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1F72"/>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B39"/>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5D"/>
    <w:rsid w:val="004A7C63"/>
    <w:rsid w:val="004B0160"/>
    <w:rsid w:val="004B02BC"/>
    <w:rsid w:val="004B03BD"/>
    <w:rsid w:val="004B03CE"/>
    <w:rsid w:val="004B099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B6D"/>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E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3F7"/>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5E9"/>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182"/>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C5C"/>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1C"/>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A6D"/>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5CBE"/>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069"/>
    <w:rsid w:val="00594158"/>
    <w:rsid w:val="005946FB"/>
    <w:rsid w:val="0059473F"/>
    <w:rsid w:val="00594BD4"/>
    <w:rsid w:val="00594E8D"/>
    <w:rsid w:val="00595467"/>
    <w:rsid w:val="00595561"/>
    <w:rsid w:val="00595577"/>
    <w:rsid w:val="00595BA0"/>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1CCC"/>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EE3"/>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0DC5"/>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B8"/>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831"/>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3FC"/>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04"/>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0F1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5BA"/>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983"/>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755"/>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2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A84"/>
    <w:rsid w:val="006F3C5E"/>
    <w:rsid w:val="006F3EBA"/>
    <w:rsid w:val="006F4C67"/>
    <w:rsid w:val="006F4CF1"/>
    <w:rsid w:val="006F558F"/>
    <w:rsid w:val="006F6422"/>
    <w:rsid w:val="006F644F"/>
    <w:rsid w:val="006F663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0A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7B"/>
    <w:rsid w:val="007237AB"/>
    <w:rsid w:val="007238ED"/>
    <w:rsid w:val="00723A04"/>
    <w:rsid w:val="00723DCB"/>
    <w:rsid w:val="00724290"/>
    <w:rsid w:val="0072438D"/>
    <w:rsid w:val="007244CA"/>
    <w:rsid w:val="00724527"/>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43"/>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BC4"/>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083"/>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05C"/>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9CD"/>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AE1"/>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0EA"/>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406"/>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6C1"/>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863"/>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D9E"/>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0C2"/>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4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1C6"/>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73"/>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CB7"/>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67C9B"/>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954"/>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BBB"/>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5DF4"/>
    <w:rsid w:val="009F625A"/>
    <w:rsid w:val="009F64E1"/>
    <w:rsid w:val="009F6784"/>
    <w:rsid w:val="009F68E4"/>
    <w:rsid w:val="009F69BE"/>
    <w:rsid w:val="009F6B17"/>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EF8"/>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0C"/>
    <w:rsid w:val="00A57545"/>
    <w:rsid w:val="00A578A0"/>
    <w:rsid w:val="00A57B06"/>
    <w:rsid w:val="00A57B83"/>
    <w:rsid w:val="00A57E9B"/>
    <w:rsid w:val="00A60539"/>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0A5D"/>
    <w:rsid w:val="00AB1011"/>
    <w:rsid w:val="00AB112E"/>
    <w:rsid w:val="00AB1A41"/>
    <w:rsid w:val="00AB2046"/>
    <w:rsid w:val="00AB2792"/>
    <w:rsid w:val="00AB2927"/>
    <w:rsid w:val="00AB29AB"/>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308"/>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0C68"/>
    <w:rsid w:val="00AF146F"/>
    <w:rsid w:val="00AF17E9"/>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3FE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4B2"/>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0DCE"/>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3A6"/>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E61"/>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827"/>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A8A"/>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954"/>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6B3C"/>
    <w:rsid w:val="00BE71DB"/>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57C"/>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5E4"/>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D39"/>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5B1"/>
    <w:rsid w:val="00C8579F"/>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766"/>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4E4C"/>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DD9"/>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006"/>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14C"/>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3FB"/>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78C"/>
    <w:rsid w:val="00D72B19"/>
    <w:rsid w:val="00D72C15"/>
    <w:rsid w:val="00D72E5D"/>
    <w:rsid w:val="00D73054"/>
    <w:rsid w:val="00D73092"/>
    <w:rsid w:val="00D733A6"/>
    <w:rsid w:val="00D7394A"/>
    <w:rsid w:val="00D73ED0"/>
    <w:rsid w:val="00D74208"/>
    <w:rsid w:val="00D74A43"/>
    <w:rsid w:val="00D74A8D"/>
    <w:rsid w:val="00D74ECF"/>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76D"/>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46C"/>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6F1"/>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E55"/>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A32"/>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4667"/>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5E3"/>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7BE"/>
    <w:rsid w:val="00EB282B"/>
    <w:rsid w:val="00EB283D"/>
    <w:rsid w:val="00EB2853"/>
    <w:rsid w:val="00EB28CA"/>
    <w:rsid w:val="00EB2925"/>
    <w:rsid w:val="00EB307E"/>
    <w:rsid w:val="00EB3188"/>
    <w:rsid w:val="00EB3963"/>
    <w:rsid w:val="00EB3D9C"/>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2E"/>
    <w:rsid w:val="00F052E0"/>
    <w:rsid w:val="00F0545C"/>
    <w:rsid w:val="00F05576"/>
    <w:rsid w:val="00F05A7A"/>
    <w:rsid w:val="00F05AB9"/>
    <w:rsid w:val="00F05BE3"/>
    <w:rsid w:val="00F0602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3E5"/>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714"/>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A63"/>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778"/>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6B005D6E"/>
    <w:rsid w:val="6D334A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标题1"/>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修订1"/>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清单表 2 - 着色 41"/>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清单表 1 浅色 - 着色 1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uiPriority w:val="61"/>
    <w:rPr>
      <w:rFonts w:ascii="Calibri" w:hAnsi="Calibri" w:eastAsia="宋体" w:cs="Times New Roman"/>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清单表 2 - 着色 21"/>
    <w:basedOn w:val="34"/>
    <w:qFormat/>
    <w:uiPriority w:val="47"/>
    <w:rPr>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sz w:val="22"/>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网格表 21"/>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网格表 2 - 着色 41"/>
    <w:basedOn w:val="34"/>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网格表 2 - 着色 51"/>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清单表 2 - 着色 51"/>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清单表 1 浅色 - 着色 51"/>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sz w:val="21"/>
      <w:szCs w:val="22"/>
      <w:lang w:val="en-IN" w:eastAsia="en-US" w:bidi="ar-SA"/>
    </w:rPr>
  </w:style>
  <w:style w:type="character" w:customStyle="1" w:styleId="204">
    <w:name w:val="未处理的提及6"/>
    <w:basedOn w:val="67"/>
    <w:semiHidden/>
    <w:unhideWhenUsed/>
    <w:qFormat/>
    <w:uiPriority w:val="99"/>
    <w:rPr>
      <w:color w:val="605E5C"/>
      <w:shd w:val="clear" w:color="auto" w:fill="E1DFDD"/>
    </w:rPr>
  </w:style>
  <w:style w:type="table" w:customStyle="1" w:styleId="205">
    <w:name w:val="网格表 4 - 着色 21"/>
    <w:basedOn w:val="34"/>
    <w:qFormat/>
    <w:uiPriority w:val="49"/>
    <w:tblPr>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Pr>
    <w:tblStylePr w:type="firstRow">
      <w:rPr>
        <w:b/>
        <w:bCs/>
        <w:color w:val="FFFFFF" w:themeColor="background1"/>
        <w14:textFill>
          <w14:solidFill>
            <w14:schemeClr w14:val="bg1"/>
          </w14:solidFill>
        </w14:textFill>
      </w:rPr>
      <w:tcPr>
        <w:tcBorders>
          <w:top w:val="single" w:color="ED7D31" w:themeColor="accent2" w:sz="4" w:space="0"/>
          <w:left w:val="single" w:color="ED7D31" w:themeColor="accent2" w:sz="4" w:space="0"/>
          <w:bottom w:val="single" w:color="ED7D31" w:themeColor="accent2" w:sz="4" w:space="0"/>
          <w:right w:val="single" w:color="ED7D31" w:themeColor="accent2" w:sz="4" w:space="0"/>
          <w:insideH w:val="nil"/>
          <w:insideV w:val="nil"/>
        </w:tcBorders>
        <w:shd w:val="clear" w:color="auto" w:fill="ED7D31" w:themeFill="accent2"/>
      </w:tcPr>
    </w:tblStylePr>
    <w:tblStylePr w:type="lastRow">
      <w:rPr>
        <w:b/>
        <w:bCs/>
      </w:rPr>
      <w:tcPr>
        <w:tcBorders>
          <w:top w:val="double" w:color="ED7D31" w:themeColor="accent2" w:sz="4" w:space="0"/>
        </w:tcBorders>
      </w:tc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206">
    <w:name w:val="清单表 1 浅色 - 着色 41"/>
    <w:basedOn w:val="34"/>
    <w:qFormat/>
    <w:uiPriority w:val="46"/>
    <w:pPr>
      <w:jc w:val="right"/>
    </w:pPr>
    <w:rPr>
      <w:rFonts w:eastAsia="Times New Roman"/>
    </w:rPr>
    <w:tblPr>
      <w:tblBorders>
        <w:bottom w:val="single" w:color="000000" w:themeColor="text1" w:sz="4" w:space="0"/>
      </w:tblBorders>
    </w:tblPr>
    <w:tcPr>
      <w:vAlign w:val="center"/>
    </w:tcPr>
    <w:tblStylePr w:type="firstRow">
      <w:pPr>
        <w:jc w:val="center"/>
      </w:pPr>
      <w:rPr>
        <w:b/>
        <w:bCs/>
      </w:rPr>
      <w:tcPr>
        <w:tcBorders>
          <w:bottom w:val="single" w:color="FFD965" w:themeColor="accent4" w:themeTint="99" w:sz="4" w:space="0"/>
        </w:tcBorders>
      </w:tcPr>
    </w:tblStylePr>
    <w:tblStylePr w:type="lastRow">
      <w:rPr>
        <w:b/>
        <w:bCs/>
      </w:rPr>
    </w:tblStylePr>
    <w:tblStylePr w:type="firstCol">
      <w:pPr>
        <w:jc w:val="both"/>
      </w:pPr>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tblStylePr w:type="nwCell">
      <w:pPr>
        <w:jc w:val="both"/>
      </w:pPr>
    </w:tblStylePr>
  </w:style>
  <w:style w:type="character" w:customStyle="1" w:styleId="207">
    <w:name w:val="未处理的提及7"/>
    <w:basedOn w:val="67"/>
    <w:semiHidden/>
    <w:unhideWhenUsed/>
    <w:qFormat/>
    <w:uiPriority w:val="99"/>
    <w:rPr>
      <w:color w:val="605E5C"/>
      <w:shd w:val="clear" w:color="auto" w:fill="E1DFDD"/>
    </w:rPr>
  </w:style>
  <w:style w:type="table" w:customStyle="1" w:styleId="208">
    <w:name w:val="Grid Table 4 Accent 2"/>
    <w:basedOn w:val="34"/>
    <w:qFormat/>
    <w:uiPriority w:val="49"/>
    <w:rPr>
      <w:kern w:val="2"/>
      <w:sz w:val="21"/>
      <w:szCs w:val="21"/>
    </w:rPr>
    <w:tblPr>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Pr>
    <w:tblStylePr w:type="firstRow">
      <w:rPr>
        <w:b/>
        <w:bCs/>
        <w:color w:val="FFFFFF" w:themeColor="background1"/>
        <w14:textFill>
          <w14:solidFill>
            <w14:schemeClr w14:val="bg1"/>
          </w14:solidFill>
        </w14:textFill>
      </w:rPr>
      <w:tcPr>
        <w:tcBorders>
          <w:top w:val="single" w:color="ED7D31" w:themeColor="accent2" w:sz="4" w:space="0"/>
          <w:left w:val="single" w:color="ED7D31" w:themeColor="accent2" w:sz="4" w:space="0"/>
          <w:bottom w:val="single" w:color="ED7D31" w:themeColor="accent2" w:sz="4" w:space="0"/>
          <w:right w:val="single" w:color="ED7D31" w:themeColor="accent2" w:sz="4" w:space="0"/>
          <w:insideH w:val="nil"/>
          <w:insideV w:val="nil"/>
        </w:tcBorders>
        <w:shd w:val="clear" w:color="auto" w:fill="ED7D31" w:themeFill="accent2"/>
      </w:tcPr>
    </w:tblStylePr>
    <w:tblStylePr w:type="lastRow">
      <w:rPr>
        <w:b/>
        <w:bCs/>
      </w:rPr>
      <w:tcPr>
        <w:tcBorders>
          <w:top w:val="double" w:color="ED7D31" w:themeColor="accent2" w:sz="4" w:space="0"/>
        </w:tcBorders>
      </w:tc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s>
</file>

<file path=word/_rels/document.xml.rels><?xml version="1.0" encoding="UTF-8" standalone="yes"?>
<Relationships xmlns="http://schemas.openxmlformats.org/package/2006/relationships"><Relationship Id="rId9" Type="http://schemas.openxmlformats.org/officeDocument/2006/relationships/chart" Target="charts/chart1.xml"/><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4" Type="http://schemas.microsoft.com/office/2011/relationships/chartColorStyle" Target="colors1.xml"/><Relationship Id="rId3" Type="http://schemas.microsoft.com/office/2011/relationships/chartStyle" Target="style1.xml"/><Relationship Id="rId2" Type="http://schemas.openxmlformats.org/officeDocument/2006/relationships/chartUserShapes" Target="../drawings/drawing1.xml"/><Relationship Id="rId1" Type="http://schemas.openxmlformats.org/officeDocument/2006/relationships/oleObject" Target="file:///C:\Users\123\Desktop\&#35266;&#28857;\&#27169;&#26495;\&#35266;&#28857;&#25968;&#25454;&#22270;&#34920;&#27169;&#26495;-&#27169;&#26495;%20202312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254884259259259"/>
          <c:y val="0.131440849673203"/>
          <c:w val="0.937283950617284"/>
          <c:h val="0.793030392156863"/>
        </c:manualLayout>
      </c:layout>
      <c:barChart>
        <c:barDir val="col"/>
        <c:grouping val="clustered"/>
        <c:varyColors val="0"/>
        <c:ser>
          <c:idx val="0"/>
          <c:order val="0"/>
          <c:tx>
            <c:strRef>
              <c:f>全球总体!$A$22</c:f>
              <c:strCache>
                <c:ptCount val="1"/>
                <c:pt idx="0">
                  <c:v>Global Market Size ($ Mn)</c:v>
                </c:pt>
              </c:strCache>
            </c:strRef>
          </c:tx>
          <c:spPr>
            <a:solidFill>
              <a:srgbClr val="002060"/>
            </a:solidFill>
            <a:ln>
              <a:noFill/>
            </a:ln>
            <a:effectLst/>
          </c:spPr>
          <c:invertIfNegative val="0"/>
          <c:dLbls>
            <c:delete val="1"/>
          </c:dLbls>
          <c:cat>
            <c:numRef>
              <c:f>全球总体!$B$21:$D$21</c:f>
              <c:numCache>
                <c:formatCode>General</c:formatCode>
                <c:ptCount val="3"/>
                <c:pt idx="0">
                  <c:v>2018</c:v>
                </c:pt>
                <c:pt idx="1">
                  <c:v>2022</c:v>
                </c:pt>
                <c:pt idx="2">
                  <c:v>2029</c:v>
                </c:pt>
              </c:numCache>
            </c:numRef>
          </c:cat>
          <c:val>
            <c:numRef>
              <c:f>全球总体!$B$22:$D$22</c:f>
              <c:numCache>
                <c:formatCode>#,##0_ </c:formatCode>
                <c:ptCount val="3"/>
                <c:pt idx="0">
                  <c:v>474.379738296252</c:v>
                </c:pt>
                <c:pt idx="1">
                  <c:v>909.675375286944</c:v>
                </c:pt>
                <c:pt idx="2">
                  <c:v>1181.47423674467</c:v>
                </c:pt>
              </c:numCache>
            </c:numRef>
          </c:val>
        </c:ser>
        <c:dLbls>
          <c:showLegendKey val="0"/>
          <c:showVal val="0"/>
          <c:showCatName val="0"/>
          <c:showSerName val="0"/>
          <c:showPercent val="0"/>
          <c:showBubbleSize val="0"/>
        </c:dLbls>
        <c:gapWidth val="219"/>
        <c:overlap val="-27"/>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81370671"/>
        <c:crosses val="autoZero"/>
        <c:auto val="1"/>
        <c:lblAlgn val="ctr"/>
        <c:lblOffset val="100"/>
        <c:noMultiLvlLbl val="0"/>
      </c:catAx>
      <c:valAx>
        <c:axId val="481370671"/>
        <c:scaling>
          <c:orientation val="minMax"/>
        </c:scaling>
        <c:delete val="0"/>
        <c:axPos val="l"/>
        <c:majorGridlines>
          <c:spPr>
            <a:ln w="9525" cap="flat" cmpd="sng" algn="ctr">
              <a:noFill/>
              <a:round/>
            </a:ln>
            <a:effectLst/>
          </c:spPr>
        </c:majorGridlines>
        <c:numFmt formatCode="#,##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19571343"/>
        <c:crosses val="autoZero"/>
        <c:crossBetween val="between"/>
      </c:valAx>
      <c:spPr>
        <a:noFill/>
        <a:ln>
          <a:noFill/>
        </a:ln>
        <a:effectLst/>
      </c:spPr>
    </c:plotArea>
    <c:plotVisOnly val="1"/>
    <c:dispBlanksAs val="gap"/>
    <c:showDLblsOverMax val="0"/>
    <c:extLst>
      <c:ext uri="{0b15fc19-7d7d-44ad-8c2d-2c3a37ce22c3}">
        <chartProps xmlns="https://web.wps.cn/et/2018/main" chartId="{9819021f-0c88-457d-88fd-6ee0c484424e}"/>
      </c:ext>
    </c:extLst>
  </c:chart>
  <c:spPr>
    <a:solidFill>
      <a:schemeClr val="bg1"/>
    </a:solidFill>
    <a:ln w="9525" cap="flat" cmpd="sng" algn="ctr">
      <a:noFill/>
      <a:round/>
    </a:ln>
    <a:effectLst/>
  </c:spPr>
  <c:txPr>
    <a:bodyPr/>
    <a:lstStyle/>
    <a:p>
      <a:pPr>
        <a:defRPr lang="zh-CN"/>
      </a:pPr>
    </a:p>
  </c:txPr>
  <c:externalData r:id="rId1">
    <c:autoUpdate val="0"/>
  </c:externalData>
  <c:userShapes r:id="rId2"/>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0.55801</cdr:x>
      <cdr:y>0.27732</cdr:y>
    </cdr:from>
    <cdr:to>
      <cdr:x>0.71152</cdr:x>
      <cdr:y>0.57787</cdr:y>
    </cdr:to>
    <cdr:grpSp>
      <cdr:nvGrpSpPr>
        <cdr:cNvPr id="2" name="组合 1"/>
        <cdr:cNvGrpSpPr/>
      </cdr:nvGrpSpPr>
      <cdr:grpSpPr xmlns:a="http://schemas.openxmlformats.org/drawingml/2006/main">
        <a:xfrm rot="439955">
          <a:off x="3453362" y="814454"/>
          <a:ext cx="950029" cy="882678"/>
          <a:chOff x="2859058" y="1061399"/>
          <a:chExt cx="759437" cy="821673"/>
        </a:xfrm>
        <a:solidFill>
          <a:srgbClr val="FFC000"/>
        </a:solidFill>
      </cdr:grpSpPr>
      <cdr:cxnSp>
        <cdr:nvCxnSpPr>
          <cdr:cNvPr id="3" name="直接箭头连接符 2"/>
          <cdr:cNvCxnSpPr/>
        </cdr:nvCxnSpPr>
        <cdr:spPr xmlns:a="http://schemas.openxmlformats.org/drawingml/2006/main">
          <a:xfrm xmlns:a="http://schemas.openxmlformats.org/drawingml/2006/main" rot="21160045" flipV="1">
            <a:off x="2859058" y="1061399"/>
            <a:ext cx="759437" cy="821673"/>
          </a:xfrm>
          <a:prstGeom xmlns:a="http://schemas.openxmlformats.org/drawingml/2006/main" prst="straightConnector1">
            <a:avLst/>
          </a:prstGeom>
          <a:grpFill/>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4" name="椭圆 3"/>
          <cdr:cNvSpPr/>
        </cdr:nvSpPr>
        <cdr:spPr xmlns:a="http://schemas.openxmlformats.org/drawingml/2006/main">
          <a:xfrm xmlns:a="http://schemas.openxmlformats.org/drawingml/2006/main" rot="18649119">
            <a:off x="2885602" y="1427757"/>
            <a:ext cx="619687" cy="185800"/>
          </a:xfrm>
          <a:prstGeom xmlns:a="http://schemas.openxmlformats.org/drawingml/2006/main" prst="ellipse">
            <a:avLst/>
          </a:prstGeom>
          <a:grp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baseline="0">
                <a:solidFill>
                  <a:sysClr val="windowText" lastClr="000000"/>
                </a:solidFill>
                <a:latin typeface="Book Antiqua" panose="02040602050305030304" pitchFamily="1" charset="0"/>
                <a:ea typeface="宋体" panose="02010600030101010101" charset="-122"/>
              </a:rPr>
              <a:t>6.2%</a:t>
            </a:r>
            <a:endParaRPr lang="zh-CN" baseline="0">
              <a:solidFill>
                <a:sysClr val="windowText" lastClr="000000"/>
              </a:solidFill>
              <a:latin typeface="Book Antiqua" panose="02040602050305030304" pitchFamily="1" charset="0"/>
              <a:ea typeface="宋体" panose="02010600030101010101" charset="-122"/>
            </a:endParaRPr>
          </a:p>
        </cdr:txBody>
      </cdr:sp>
    </cdr:grpSp>
  </cdr:relSizeAnchor>
  <cdr:relSizeAnchor xmlns:cdr="http://schemas.openxmlformats.org/drawingml/2006/chartDrawing">
    <cdr:from>
      <cdr:x>0.23328</cdr:x>
      <cdr:y>0.47975</cdr:y>
    </cdr:from>
    <cdr:to>
      <cdr:x>0.43042</cdr:x>
      <cdr:y>0.743</cdr:y>
    </cdr:to>
    <cdr:grpSp>
      <cdr:nvGrpSpPr>
        <cdr:cNvPr id="5" name="组合 4"/>
        <cdr:cNvGrpSpPr/>
      </cdr:nvGrpSpPr>
      <cdr:grpSpPr xmlns:a="http://schemas.openxmlformats.org/drawingml/2006/main">
        <a:xfrm rot="1783323">
          <a:off x="1443702" y="1408966"/>
          <a:ext cx="1220042" cy="773132"/>
          <a:chOff x="3065378" y="1615187"/>
          <a:chExt cx="1010935" cy="814928"/>
        </a:xfrm>
      </cdr:grpSpPr>
      <cdr:cxnSp>
        <cdr:nvCxnSpPr>
          <cdr:cNvPr id="6" name="直接箭头连接符 5"/>
          <cdr:cNvCxnSpPr/>
        </cdr:nvCxnSpPr>
        <cdr:spPr xmlns:a="http://schemas.openxmlformats.org/drawingml/2006/main">
          <a:xfrm xmlns:a="http://schemas.openxmlformats.org/drawingml/2006/main" rot="19816677" flipV="1">
            <a:off x="3065378" y="1822248"/>
            <a:ext cx="1010935" cy="464804"/>
          </a:xfrm>
          <a:prstGeom xmlns:a="http://schemas.openxmlformats.org/drawingml/2006/main" prst="straightConnector1">
            <a:avLst/>
          </a:prstGeom>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7" name="椭圆 6"/>
          <cdr:cNvSpPr/>
        </cdr:nvSpPr>
        <cdr:spPr xmlns:a="http://schemas.openxmlformats.org/drawingml/2006/main">
          <a:xfrm xmlns:a="http://schemas.openxmlformats.org/drawingml/2006/main" rot="18584799">
            <a:off x="3135135" y="1935053"/>
            <a:ext cx="814928" cy="175195"/>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a:solidFill>
                  <a:sysClr val="windowText" lastClr="000000"/>
                </a:solidFill>
              </a:rPr>
              <a:t>5.6%</a:t>
            </a:r>
            <a:endParaRPr lang="zh-CN">
              <a:solidFill>
                <a:sysClr val="windowText" lastClr="000000"/>
              </a:solidFill>
            </a:endParaRPr>
          </a:p>
        </cdr:txBody>
      </cdr:sp>
    </cdr:grp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DA9133F-CC68-4C73-97AC-72D16D7D81F8}">
  <ds:schemaRefs/>
</ds:datastoreItem>
</file>

<file path=docProps/app.xml><?xml version="1.0" encoding="utf-8"?>
<Properties xmlns="http://schemas.openxmlformats.org/officeDocument/2006/extended-properties" xmlns:vt="http://schemas.openxmlformats.org/officeDocument/2006/docPropsVTypes">
  <Template>Normal</Template>
  <Pages>5</Pages>
  <Words>1410</Words>
  <Characters>1783</Characters>
  <Lines>23</Lines>
  <Paragraphs>6</Paragraphs>
  <TotalTime>896</TotalTime>
  <ScaleCrop>false</ScaleCrop>
  <LinksUpToDate>false</LinksUpToDate>
  <CharactersWithSpaces>1805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2025-10-20T05:31:32Z</dcterms:modified>
  <cp:revision>852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2052-12.1.0.22529</vt:lpwstr>
  </property>
  <property fmtid="{D5CDD505-2E9C-101B-9397-08002B2CF9AE}" pid="4" name="ICV">
    <vt:lpwstr>82DF5B277D61458397869A5155CCB466_12</vt:lpwstr>
  </property>
</Properties>
</file>