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A52029">
      <w:pPr>
        <w:pStyle w:val="167"/>
        <w:rPr>
          <w:lang w:eastAsia="zh-CN"/>
        </w:rPr>
      </w:pPr>
      <w:bookmarkStart w:id="0" w:name="_Hlk176269009"/>
      <w:bookmarkStart w:id="1" w:name="_Toc517262917"/>
      <w:bookmarkStart w:id="2" w:name="_Toc453597319"/>
      <w:bookmarkStart w:id="3" w:name="OLE_LINK13"/>
      <w:bookmarkStart w:id="4" w:name="_Toc418070112"/>
      <w:bookmarkStart w:id="5" w:name="_Toc415818939"/>
      <w:bookmarkStart w:id="6" w:name="_Toc438987549"/>
      <w:bookmarkStart w:id="7" w:name="_Toc415143481"/>
      <w:bookmarkStart w:id="8" w:name="OLE_LINK15"/>
      <w:bookmarkStart w:id="9" w:name="_Toc481801204"/>
      <w:bookmarkStart w:id="10" w:name="OLE_LINK40"/>
      <w:bookmarkStart w:id="11" w:name="OLE_LINK39"/>
      <w:bookmarkStart w:id="12" w:name="_Toc415142861"/>
      <w:bookmarkStart w:id="13" w:name="OLE_LINK24"/>
      <w:r>
        <w:rPr>
          <w:lang w:eastAsia="zh-CN"/>
        </w:rPr>
        <w:t>衍射光栅</w:t>
      </w:r>
      <w:r>
        <w:rPr>
          <w:rFonts w:hint="eastAsia"/>
          <w:lang w:eastAsia="zh-CN"/>
        </w:rPr>
        <w:t>产品定义</w:t>
      </w:r>
    </w:p>
    <w:bookmarkEnd w:id="0"/>
    <w:p w14:paraId="5C73E509">
      <w:pPr>
        <w:pStyle w:val="145"/>
        <w:rPr>
          <w:lang w:eastAsia="zh-CN"/>
        </w:rPr>
      </w:pPr>
      <w:r>
        <w:drawing>
          <wp:inline distT="0" distB="0" distL="0" distR="0">
            <wp:extent cx="3599815" cy="2352675"/>
            <wp:effectExtent l="0" t="0" r="635" b="9525"/>
            <wp:docPr id="12160987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098791" name="图片 1"/>
                    <pic:cNvPicPr>
                      <a:picLocks noChangeAspect="1"/>
                    </pic:cNvPicPr>
                  </pic:nvPicPr>
                  <pic:blipFill>
                    <a:blip r:embed="rId9"/>
                    <a:stretch>
                      <a:fillRect/>
                    </a:stretch>
                  </pic:blipFill>
                  <pic:spPr>
                    <a:xfrm>
                      <a:off x="0" y="0"/>
                      <a:ext cx="3600000" cy="2352826"/>
                    </a:xfrm>
                    <a:prstGeom prst="rect">
                      <a:avLst/>
                    </a:prstGeom>
                  </pic:spPr>
                </pic:pic>
              </a:graphicData>
            </a:graphic>
          </wp:inline>
        </w:drawing>
      </w:r>
    </w:p>
    <w:p w14:paraId="00E60185">
      <w:pPr>
        <w:pStyle w:val="145"/>
        <w:rPr>
          <w:lang w:eastAsia="zh-CN"/>
        </w:rPr>
      </w:pPr>
      <w:r>
        <w:rPr>
          <w:rFonts w:hint="eastAsia"/>
          <w:lang w:eastAsia="zh-CN"/>
        </w:rPr>
        <w:t>衍射光栅是一种光学元件，它能够将入射光分解成不同波长的光束。衍射光栅的槽密度、槽深和槽形决定了其光谱范围、效率、分辨率和整体性能。衍射光栅由一系列规则排列的平行细缝或条纹组成。这些细缝或条纹会根据其周期性和结构特征对入射光产生衍射效应。根据入射光的角度，在透射式或反射式衍射光栅的另一侧的屏幕上，可以观察到彩虹般的条纹图案（零级衍射除外）。这些彩色条纹图案被称为光谱。衍射光栅是光谱学、通信系统和激光系统等领域的重要组成部分。</w:t>
      </w:r>
    </w:p>
    <w:p w14:paraId="1999488E">
      <w:pPr>
        <w:pStyle w:val="145"/>
        <w:rPr>
          <w:rFonts w:hint="eastAsia"/>
          <w:lang w:eastAsia="zh-CN"/>
        </w:rPr>
      </w:pPr>
    </w:p>
    <w:p w14:paraId="37F1E6C7">
      <w:pPr>
        <w:pStyle w:val="167"/>
        <w:rPr>
          <w:lang w:eastAsia="zh-CN"/>
        </w:rPr>
      </w:pPr>
      <w:r>
        <w:t>衍射光栅</w:t>
      </w:r>
      <w:r>
        <w:rPr>
          <w:rFonts w:hint="eastAsia"/>
          <w:lang w:eastAsia="zh-CN"/>
        </w:rPr>
        <w:t>市场概述</w:t>
      </w:r>
    </w:p>
    <w:p w14:paraId="562F2CF2">
      <w:pPr>
        <w:pStyle w:val="145"/>
        <w:rPr>
          <w:b/>
          <w:bCs/>
          <w:lang w:eastAsia="zh-CN"/>
        </w:rPr>
      </w:pPr>
      <w:r>
        <w:rPr>
          <w:rFonts w:hint="eastAsia"/>
          <w:b/>
          <w:bCs/>
          <w:lang w:eastAsia="zh-CN"/>
        </w:rPr>
        <w:t>研究背景：</w:t>
      </w:r>
    </w:p>
    <w:p w14:paraId="5E568324">
      <w:pPr>
        <w:pStyle w:val="145"/>
        <w:rPr>
          <w:lang w:eastAsia="zh-CN"/>
        </w:rPr>
      </w:pPr>
      <w:r>
        <w:rPr>
          <w:rFonts w:hint="eastAsia"/>
          <w:lang w:eastAsia="zh-CN"/>
        </w:rPr>
        <w:t>衍射光栅市场的发展根植于这些光学元件在精确光线分散和波长分析方面的长期重要性，它们广泛应用于各种领域。从传统的刻线式衍射光栅发展到先进的衍射光栅技术，包括全息衍射光栅和复制衍射光栅，衍射光栅已成为光谱学、激光系统、光通信和天文学研究等领域不可或缺的工具。它们能够提供高分辨率光谱数据，因此被广泛应用于生命科学、材料测试、通信和航空航天等行业。随着纳米加工和光子技术的发展，衍射光栅正朝着更具针对性的应用方向发展，这为创新和市场拓展提供了更多机会。以上背景说明了衍射光栅市场持续增长和多元化发展背后的强大技术基础和跨行业应用价值。</w:t>
      </w:r>
    </w:p>
    <w:p w14:paraId="49245B5B">
      <w:pPr>
        <w:pStyle w:val="145"/>
        <w:rPr>
          <w:b/>
          <w:bCs/>
          <w:lang w:eastAsia="zh-CN"/>
        </w:rPr>
      </w:pPr>
      <w:r>
        <w:rPr>
          <w:rFonts w:hint="eastAsia"/>
          <w:b/>
          <w:bCs/>
          <w:lang w:eastAsia="zh-CN"/>
        </w:rPr>
        <w:t>发展现状：</w:t>
      </w:r>
    </w:p>
    <w:p w14:paraId="0695622D">
      <w:pPr>
        <w:pStyle w:val="145"/>
        <w:rPr>
          <w:lang w:eastAsia="zh-CN"/>
        </w:rPr>
      </w:pPr>
      <w:r>
        <w:rPr>
          <w:rFonts w:hint="eastAsia"/>
          <w:lang w:eastAsia="zh-CN"/>
        </w:rPr>
        <w:t>目前，衍射光栅市场正处于稳步发展阶段，创新技术正推动着市场不断进步。制造商积极应对市场对更高分辨率、更低杂散光和更宽波长覆盖范围的需求，不断提升产品性能。实验和生产环节正采用纳米压印光刻、电子束光刻和全息干涉等先进工艺，以提高光栅槽结构精度和功能层质量。光栅在光通信、科研、激光系统和光谱分析等领域的应用日益广泛，市场需求持续增长，而这些领域对衍射光栅的性能要求也越来越高，例如更薄、效率更高、更耐用的光栅。与此同时，成本压力、材料限制以及大面积光栅的质量一致性等问题仍然存在。为了在激烈的市场竞争中脱颖而出，供应商越来越注重产品定制化、更严格的公差控制、多层涂层技术和表面精加工工艺，而亚太地区等区域的生产能力也在不断扩充，以满足日益增长的全球市场需求。</w:t>
      </w:r>
    </w:p>
    <w:p w14:paraId="6CAEDDE4">
      <w:pPr>
        <w:pStyle w:val="145"/>
        <w:rPr>
          <w:b/>
          <w:bCs/>
          <w:lang w:eastAsia="zh-CN"/>
        </w:rPr>
      </w:pPr>
      <w:r>
        <w:rPr>
          <w:rFonts w:hint="eastAsia"/>
          <w:b/>
          <w:bCs/>
          <w:lang w:eastAsia="zh-CN"/>
        </w:rPr>
        <w:t>未来趋势：</w:t>
      </w:r>
    </w:p>
    <w:p w14:paraId="2D312342">
      <w:pPr>
        <w:pStyle w:val="145"/>
        <w:rPr>
          <w:rFonts w:hint="eastAsia"/>
          <w:lang w:eastAsia="zh-CN"/>
        </w:rPr>
      </w:pPr>
      <w:r>
        <w:rPr>
          <w:rFonts w:hint="eastAsia"/>
          <w:lang w:eastAsia="zh-CN"/>
        </w:rPr>
        <w:t>制造技术进步：衍射光栅市场未来的增长将由纳米加工和光刻技术的发展所驱动。这些技术能够实现更精密的条纹结构、更高的耐用性和更低的散射光。这些创新将提升衍射光栅在用于高分辨率光谱分析和激光系统等领域的性能。</w:t>
      </w:r>
    </w:p>
    <w:p w14:paraId="51225485">
      <w:pPr>
        <w:pStyle w:val="145"/>
        <w:rPr>
          <w:rFonts w:hint="eastAsia"/>
          <w:lang w:eastAsia="zh-CN"/>
        </w:rPr>
      </w:pPr>
      <w:r>
        <w:rPr>
          <w:rFonts w:hint="eastAsia"/>
          <w:lang w:eastAsia="zh-CN"/>
        </w:rPr>
        <w:t>光通信领域需求增长：随着全球数据网络不断扩展，衍射光栅预计将在波分复用系统中发挥更重要的作用。它们能够高效地处理日益增长的数据流量，因此将成为下一代光通信基础设施的关键组件。</w:t>
      </w:r>
    </w:p>
    <w:p w14:paraId="2D115F57">
      <w:pPr>
        <w:pStyle w:val="145"/>
        <w:rPr>
          <w:rFonts w:hint="eastAsia"/>
          <w:lang w:eastAsia="zh-CN"/>
        </w:rPr>
      </w:pPr>
      <w:r>
        <w:rPr>
          <w:rFonts w:hint="eastAsia"/>
          <w:lang w:eastAsia="zh-CN"/>
        </w:rPr>
        <w:t>应用于先进的科学和工业领域：随着天文学、生命科学和材料分析等领域的研究日益复杂，对高精度衍射光栅的需求也将随之增长。能够覆盖特定波长范围并具有更高稳定性的定制化衍射光栅将在实验室和工业仪器中得到更广泛的应用。</w:t>
      </w:r>
    </w:p>
    <w:p w14:paraId="05315762">
      <w:pPr>
        <w:pStyle w:val="145"/>
        <w:rPr>
          <w:lang w:eastAsia="zh-CN"/>
        </w:rPr>
      </w:pPr>
      <w:r>
        <w:rPr>
          <w:rFonts w:hint="eastAsia"/>
          <w:lang w:eastAsia="zh-CN"/>
        </w:rPr>
        <w:t>可持续发展和成本效益的追求：制造商可能会致力于优化生产流程以降低成本并提高生产效率，同时开发能够延长产品使用寿命的材料和涂层。这一趋势反映了市场对产品性能与经济效益和环境效益之间平衡的日益重视。</w:t>
      </w:r>
    </w:p>
    <w:p w14:paraId="36124F7B">
      <w:pPr>
        <w:pStyle w:val="145"/>
        <w:rPr>
          <w:b/>
          <w:bCs/>
          <w:lang w:eastAsia="zh-CN"/>
        </w:rPr>
      </w:pPr>
      <w:r>
        <w:rPr>
          <w:rFonts w:hint="eastAsia"/>
          <w:b/>
          <w:bCs/>
          <w:lang w:eastAsia="zh-CN"/>
        </w:rPr>
        <w:t>SWOT分析：</w:t>
      </w:r>
    </w:p>
    <w:p w14:paraId="33DE3431">
      <w:pPr>
        <w:pStyle w:val="145"/>
        <w:numPr>
          <w:ilvl w:val="0"/>
          <w:numId w:val="4"/>
        </w:numPr>
        <w:rPr>
          <w:lang w:eastAsia="zh-CN"/>
        </w:rPr>
      </w:pPr>
      <w:r>
        <w:rPr>
          <w:rFonts w:hint="eastAsia"/>
          <w:lang w:eastAsia="zh-CN"/>
        </w:rPr>
        <w:t>优势</w:t>
      </w:r>
    </w:p>
    <w:p w14:paraId="7237E509">
      <w:pPr>
        <w:pStyle w:val="145"/>
        <w:rPr>
          <w:rFonts w:hint="eastAsia"/>
          <w:lang w:eastAsia="zh-CN"/>
        </w:rPr>
      </w:pPr>
      <w:r>
        <w:rPr>
          <w:rFonts w:hint="eastAsia"/>
          <w:lang w:eastAsia="zh-CN"/>
        </w:rPr>
        <w:t>高精度与广泛应用：衍射光栅在波长分离方面拥有卓越的精度，使其成为光谱学、激光系统、光通信和天文学等领域不可或缺的关键器件。其能够提供高分辨率数据，为重要的科学研究和工业测试提供有力支持。</w:t>
      </w:r>
    </w:p>
    <w:p w14:paraId="655A8ED1">
      <w:pPr>
        <w:pStyle w:val="145"/>
        <w:rPr>
          <w:rFonts w:hint="eastAsia"/>
          <w:lang w:eastAsia="zh-CN"/>
        </w:rPr>
      </w:pPr>
      <w:r>
        <w:rPr>
          <w:rFonts w:hint="eastAsia"/>
          <w:lang w:eastAsia="zh-CN"/>
        </w:rPr>
        <w:t>技术进步：衍射光栅的制造技术不断创新，例如全息技术和纳米加工技术，显著提升了其性能，实现了更高的效率、更低的杂散光以及更强的耐用性。</w:t>
      </w:r>
    </w:p>
    <w:p w14:paraId="161B86F6">
      <w:pPr>
        <w:pStyle w:val="145"/>
        <w:rPr>
          <w:lang w:eastAsia="zh-CN"/>
        </w:rPr>
      </w:pPr>
      <w:r>
        <w:rPr>
          <w:rFonts w:hint="eastAsia"/>
          <w:lang w:eastAsia="zh-CN"/>
        </w:rPr>
        <w:t>广泛的应用领域：衍射光栅应用于医疗保健、通信、航空航天和科研等多个领域，拥有多元化的客户群体，这有助于分散因单一市场波动带来的风险。</w:t>
      </w:r>
    </w:p>
    <w:p w14:paraId="177C3ECD">
      <w:pPr>
        <w:pStyle w:val="145"/>
        <w:numPr>
          <w:ilvl w:val="0"/>
          <w:numId w:val="5"/>
        </w:numPr>
        <w:rPr>
          <w:lang w:eastAsia="zh-CN"/>
        </w:rPr>
      </w:pPr>
      <w:r>
        <w:rPr>
          <w:rFonts w:hint="eastAsia"/>
          <w:lang w:eastAsia="zh-CN"/>
        </w:rPr>
        <w:t>劣势</w:t>
      </w:r>
    </w:p>
    <w:p w14:paraId="6A92B52C">
      <w:pPr>
        <w:pStyle w:val="145"/>
        <w:rPr>
          <w:rFonts w:hint="eastAsia"/>
          <w:lang w:eastAsia="zh-CN"/>
        </w:rPr>
      </w:pPr>
      <w:r>
        <w:rPr>
          <w:rFonts w:hint="eastAsia"/>
          <w:lang w:eastAsia="zh-CN"/>
        </w:rPr>
        <w:t>成本高昂：高精度衍射光栅，尤其是那些采用先进涂层或定制化设计的，生产成本高昂，这限制了它们在对成本敏感的应用领域中的应用。</w:t>
      </w:r>
    </w:p>
    <w:p w14:paraId="193D39B8">
      <w:pPr>
        <w:pStyle w:val="145"/>
        <w:rPr>
          <w:rFonts w:hint="eastAsia"/>
          <w:lang w:eastAsia="zh-CN"/>
        </w:rPr>
      </w:pPr>
      <w:r>
        <w:rPr>
          <w:rFonts w:hint="eastAsia"/>
          <w:lang w:eastAsia="zh-CN"/>
        </w:rPr>
        <w:t>制造难题：衍射光栅的生产，特别是高精度且缺陷极少的衍射光栅，需要特殊的设备和专业技术，这使得大规模生产更加复杂且成本更高。</w:t>
      </w:r>
    </w:p>
    <w:p w14:paraId="7D5A97BE">
      <w:pPr>
        <w:pStyle w:val="145"/>
        <w:rPr>
          <w:lang w:eastAsia="zh-CN"/>
        </w:rPr>
      </w:pPr>
      <w:r>
        <w:rPr>
          <w:rFonts w:hint="eastAsia"/>
          <w:lang w:eastAsia="zh-CN"/>
        </w:rPr>
        <w:t>材料局限性：某些衍射光栅的性能可能受到材料物理特性的限制，例如对高功率、环境因素或机械应力的耐受性，这会影响它们在某些应用中的表现。</w:t>
      </w:r>
    </w:p>
    <w:p w14:paraId="6B60A2D6">
      <w:pPr>
        <w:pStyle w:val="145"/>
        <w:numPr>
          <w:ilvl w:val="0"/>
          <w:numId w:val="5"/>
        </w:numPr>
        <w:rPr>
          <w:lang w:eastAsia="zh-CN"/>
        </w:rPr>
      </w:pPr>
      <w:r>
        <w:rPr>
          <w:rFonts w:hint="eastAsia"/>
          <w:lang w:eastAsia="zh-CN"/>
        </w:rPr>
        <w:t>机会</w:t>
      </w:r>
    </w:p>
    <w:p w14:paraId="48541761">
      <w:pPr>
        <w:pStyle w:val="145"/>
        <w:rPr>
          <w:rFonts w:hint="eastAsia"/>
          <w:lang w:eastAsia="zh-CN"/>
        </w:rPr>
      </w:pPr>
      <w:r>
        <w:rPr>
          <w:rFonts w:hint="eastAsia"/>
          <w:lang w:eastAsia="zh-CN"/>
        </w:rPr>
        <w:t>光通信和数据网络市场增长：随着高速数据传输需求不断增长，衍射光栅将在光通信系统中发挥关键作用，尤其是在波分复用技术中。这为衍射光栅市场带来了巨大的增长潜力。</w:t>
      </w:r>
    </w:p>
    <w:p w14:paraId="5D11BAEE">
      <w:pPr>
        <w:pStyle w:val="145"/>
        <w:rPr>
          <w:rFonts w:hint="eastAsia"/>
          <w:lang w:eastAsia="zh-CN"/>
        </w:rPr>
      </w:pPr>
      <w:r>
        <w:rPr>
          <w:rFonts w:hint="eastAsia"/>
          <w:lang w:eastAsia="zh-CN"/>
        </w:rPr>
        <w:t>新兴技术领域的应用拓展：生物技术、量子计算和环境监测等行业对高分辨率成像和光谱分析的需求日益增长，为衍射光栅的应用开辟了新的领域。</w:t>
      </w:r>
    </w:p>
    <w:p w14:paraId="7151D4E1">
      <w:pPr>
        <w:pStyle w:val="145"/>
        <w:rPr>
          <w:lang w:eastAsia="zh-CN"/>
        </w:rPr>
      </w:pPr>
      <w:r>
        <w:rPr>
          <w:rFonts w:hint="eastAsia"/>
          <w:lang w:eastAsia="zh-CN"/>
        </w:rPr>
        <w:t>定制化和专业化解决方案：随着各行业对特定波长范围和更高性能的需求日益增加，能够为细分市场提供定制化衍射光栅解决方案的企业将拥有显著的竞争优势。</w:t>
      </w:r>
    </w:p>
    <w:p w14:paraId="7BFD7929">
      <w:pPr>
        <w:pStyle w:val="145"/>
        <w:numPr>
          <w:ilvl w:val="0"/>
          <w:numId w:val="5"/>
        </w:numPr>
        <w:rPr>
          <w:lang w:eastAsia="zh-CN"/>
        </w:rPr>
      </w:pPr>
      <w:r>
        <w:rPr>
          <w:rFonts w:hint="eastAsia"/>
          <w:lang w:eastAsia="zh-CN"/>
        </w:rPr>
        <w:t>威胁</w:t>
      </w:r>
    </w:p>
    <w:p w14:paraId="0DBD3780">
      <w:pPr>
        <w:pStyle w:val="145"/>
        <w:rPr>
          <w:rFonts w:hint="eastAsia"/>
          <w:lang w:eastAsia="zh-CN"/>
        </w:rPr>
      </w:pPr>
      <w:r>
        <w:rPr>
          <w:rFonts w:hint="eastAsia"/>
          <w:lang w:eastAsia="zh-CN"/>
        </w:rPr>
        <w:t>市场竞争激烈，替代产品众多：市场正面临来自其他光学元件和技术的激烈竞争，这些替代产品可能具备与衍射光栅相似的功能，从而可能降低传统衍射光栅的需求。</w:t>
      </w:r>
    </w:p>
    <w:p w14:paraId="2F06D256">
      <w:pPr>
        <w:pStyle w:val="145"/>
        <w:rPr>
          <w:rFonts w:hint="eastAsia"/>
          <w:lang w:eastAsia="zh-CN"/>
        </w:rPr>
      </w:pPr>
      <w:r>
        <w:rPr>
          <w:rFonts w:hint="eastAsia"/>
          <w:lang w:eastAsia="zh-CN"/>
        </w:rPr>
        <w:t>经济波动影响显著：经济衰退或研究、电信等关键行业的预算限制，可能会对衍射光栅的需求产生负面影响，因为衍射光栅通常应用于高价值、专业化的领域。</w:t>
      </w:r>
    </w:p>
    <w:p w14:paraId="65795D4E">
      <w:pPr>
        <w:pStyle w:val="145"/>
        <w:rPr>
          <w:lang w:eastAsia="zh-CN"/>
        </w:rPr>
      </w:pPr>
      <w:r>
        <w:rPr>
          <w:rFonts w:hint="eastAsia"/>
          <w:lang w:eastAsia="zh-CN"/>
        </w:rPr>
        <w:t>技术进步带来挑战：随着数字光学和自适应光学等替代光学技术的不断发展，在某些应用领域，传统衍射光栅系统可能会被取代。</w:t>
      </w:r>
    </w:p>
    <w:p w14:paraId="23AC5FB1">
      <w:pPr>
        <w:widowControl/>
        <w:topLinePunct w:val="0"/>
        <w:spacing w:after="0"/>
        <w:jc w:val="left"/>
        <w:rPr>
          <w:rFonts w:hint="eastAsia"/>
          <w:color w:val="0D0D0D" w:themeColor="text1" w:themeTint="F2"/>
          <w:kern w:val="0"/>
          <w:szCs w:val="22"/>
          <w:lang w:val="en-IN"/>
          <w14:textFill>
            <w14:solidFill>
              <w14:schemeClr w14:val="tx1">
                <w14:lumMod w14:val="95000"/>
                <w14:lumOff w14:val="5000"/>
              </w14:schemeClr>
            </w14:solidFill>
          </w14:textFill>
        </w:rPr>
      </w:pPr>
      <w:r>
        <w:br w:type="page"/>
      </w:r>
    </w:p>
    <w:p w14:paraId="3BA57076">
      <w:pPr>
        <w:pStyle w:val="145"/>
        <w:rPr>
          <w:lang w:eastAsia="zh-CN"/>
        </w:rPr>
      </w:pPr>
      <w:r>
        <w:rPr>
          <w:rFonts w:hint="eastAsia"/>
          <w:lang w:eastAsia="zh-CN"/>
        </w:rPr>
        <w:t>根据QYResearch最新调研报告显示，预计2</w:t>
      </w:r>
      <w:r>
        <w:rPr>
          <w:lang w:eastAsia="zh-CN"/>
        </w:rPr>
        <w:t>03</w:t>
      </w:r>
      <w:r>
        <w:rPr>
          <w:rFonts w:hint="eastAsia"/>
          <w:lang w:eastAsia="zh-CN"/>
        </w:rPr>
        <w:t>1年全球</w:t>
      </w:r>
      <w:r>
        <w:rPr>
          <w:lang w:eastAsia="zh-CN"/>
        </w:rPr>
        <w:t>衍射光栅</w:t>
      </w:r>
      <w:r>
        <w:rPr>
          <w:rFonts w:hint="eastAsia"/>
          <w:lang w:eastAsia="zh-CN"/>
        </w:rPr>
        <w:t>市场规模将达到</w:t>
      </w:r>
      <w:r>
        <w:rPr>
          <w:lang w:eastAsia="zh-CN"/>
        </w:rPr>
        <w:t>355.67</w:t>
      </w:r>
      <w:r>
        <w:rPr>
          <w:rFonts w:hint="eastAsia"/>
          <w:lang w:eastAsia="zh-CN"/>
        </w:rPr>
        <w:t>百万美元，未来几年年复合增长率CAGR为</w:t>
      </w:r>
      <w:r>
        <w:rPr>
          <w:lang w:eastAsia="zh-CN"/>
        </w:rPr>
        <w:t>5.50%</w:t>
      </w:r>
      <w:r>
        <w:rPr>
          <w:rFonts w:hint="eastAsia"/>
          <w:lang w:eastAsia="zh-CN"/>
        </w:rPr>
        <w:t>。</w:t>
      </w:r>
    </w:p>
    <w:p w14:paraId="3F6C2722">
      <w:pPr>
        <w:pStyle w:val="148"/>
        <w:rPr>
          <w:lang w:eastAsia="zh-CN"/>
        </w:rPr>
      </w:pPr>
      <w:r>
        <w:rPr>
          <w:lang w:eastAsia="zh-CN"/>
        </w:rPr>
        <w:t>衍射光栅</w:t>
      </w:r>
      <w:r>
        <w:rPr>
          <w:rFonts w:hint="eastAsia"/>
          <w:lang w:eastAsia="zh-CN"/>
        </w:rPr>
        <w:t>，全球市场总体规模</w:t>
      </w:r>
    </w:p>
    <w:p w14:paraId="33261207">
      <w:pPr>
        <w:pStyle w:val="145"/>
      </w:pPr>
      <w:r>
        <w:drawing>
          <wp:inline distT="0" distB="0" distL="114300" distR="114300">
            <wp:extent cx="6184265" cy="3113405"/>
            <wp:effectExtent l="0" t="0" r="6985"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6184265" cy="3113405"/>
                    </a:xfrm>
                    <a:prstGeom prst="rect">
                      <a:avLst/>
                    </a:prstGeom>
                    <a:noFill/>
                    <a:ln>
                      <a:noFill/>
                    </a:ln>
                  </pic:spPr>
                </pic:pic>
              </a:graphicData>
            </a:graphic>
          </wp:inline>
        </w:drawing>
      </w:r>
    </w:p>
    <w:p w14:paraId="4C2322E6">
      <w:pPr>
        <w:pStyle w:val="143"/>
        <w:rPr>
          <w:lang w:eastAsia="zh-CN"/>
        </w:rPr>
      </w:pPr>
      <w:r>
        <w:rPr>
          <w:rFonts w:hint="eastAsia"/>
          <w:lang w:eastAsia="zh-CN"/>
        </w:rPr>
        <w:t>来源：QYResearch 机械及设备研究中心</w:t>
      </w:r>
    </w:p>
    <w:p w14:paraId="12FD9BEF">
      <w:pPr>
        <w:pStyle w:val="145"/>
      </w:pPr>
    </w:p>
    <w:p w14:paraId="720E31E2">
      <w:pPr>
        <w:pStyle w:val="148"/>
        <w:rPr>
          <w:lang w:eastAsia="zh-CN"/>
        </w:rPr>
      </w:pPr>
      <w:r>
        <w:rPr>
          <w:rFonts w:hint="eastAsia"/>
          <w:lang w:eastAsia="zh-CN"/>
        </w:rPr>
        <w:t>全球</w:t>
      </w:r>
      <w:r>
        <w:rPr>
          <w:lang w:eastAsia="zh-CN"/>
        </w:rPr>
        <w:t>衍射光栅</w:t>
      </w:r>
      <w:r>
        <w:rPr>
          <w:rFonts w:hint="eastAsia"/>
          <w:lang w:eastAsia="zh-CN"/>
        </w:rPr>
        <w:t>市场前17强生产商排名及市场占有率（基于2</w:t>
      </w:r>
      <w:r>
        <w:rPr>
          <w:lang w:eastAsia="zh-CN"/>
        </w:rPr>
        <w:t>02</w:t>
      </w:r>
      <w:r>
        <w:rPr>
          <w:rFonts w:hint="eastAsia"/>
          <w:lang w:eastAsia="zh-CN"/>
        </w:rPr>
        <w:t>4年调研数据；目前最新数据以本公司最新调研数据为准）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drawing>
          <wp:inline distT="0" distB="0" distL="0" distR="0">
            <wp:extent cx="3771900" cy="5991225"/>
            <wp:effectExtent l="0" t="0" r="0" b="0"/>
            <wp:docPr id="177212263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A600155">
      <w:pPr>
        <w:pStyle w:val="143"/>
        <w:rPr>
          <w:lang w:eastAsia="zh-CN"/>
        </w:rPr>
      </w:pPr>
      <w:r>
        <w:rPr>
          <w:rFonts w:hint="eastAsia"/>
          <w:lang w:eastAsia="zh-CN"/>
        </w:rPr>
        <w:t>来源：QYResearch 机械及设备研究中心。行业处于不断变动之中，最新数据请联系QYResearch咨询。</w:t>
      </w:r>
    </w:p>
    <w:p w14:paraId="29E7A780">
      <w:pPr>
        <w:pStyle w:val="145"/>
        <w:rPr>
          <w:rFonts w:hint="eastAsia"/>
          <w:lang w:eastAsia="zh-CN"/>
        </w:rPr>
      </w:pPr>
      <w:r>
        <w:rPr>
          <w:rFonts w:hint="eastAsia"/>
          <w:lang w:eastAsia="zh-CN"/>
        </w:rPr>
        <w:t>全球范围内，</w:t>
      </w:r>
      <w:r>
        <w:rPr>
          <w:lang w:eastAsia="zh-CN"/>
        </w:rPr>
        <w:t>衍射光栅</w:t>
      </w:r>
      <w:r>
        <w:rPr>
          <w:rFonts w:hint="eastAsia"/>
          <w:lang w:eastAsia="zh-CN"/>
        </w:rPr>
        <w:t>主要生产商包括HORIBA、MKS Instruments、Edmund Optics、Shimadzu Corporation、Lightsmyth等，其中前五大厂商占有大约</w:t>
      </w:r>
      <w:r>
        <w:rPr>
          <w:lang w:eastAsia="zh-CN"/>
        </w:rPr>
        <w:t>50.86%</w:t>
      </w:r>
      <w:r>
        <w:rPr>
          <w:rFonts w:hint="eastAsia"/>
          <w:lang w:eastAsia="zh-CN"/>
        </w:rPr>
        <w:t>的市场份额。</w:t>
      </w:r>
    </w:p>
    <w:p w14:paraId="3B2E5865">
      <w:pPr>
        <w:pStyle w:val="145"/>
        <w:rPr>
          <w:lang w:eastAsia="zh-CN"/>
        </w:rPr>
      </w:pPr>
    </w:p>
    <w:p w14:paraId="3E6DE9A8">
      <w:pPr>
        <w:pStyle w:val="148"/>
        <w:rPr>
          <w:lang w:eastAsia="zh-CN"/>
        </w:rPr>
      </w:pPr>
      <w:r>
        <w:rPr>
          <w:lang w:eastAsia="zh-CN"/>
        </w:rPr>
        <w:t>衍射光栅</w:t>
      </w:r>
      <w:r>
        <w:rPr>
          <w:rFonts w:hint="eastAsia"/>
          <w:lang w:eastAsia="zh-CN"/>
        </w:rPr>
        <w:t>，全球市场规模，按产品类型细分，刻划光栅处于主导地位</w:t>
      </w:r>
    </w:p>
    <w:p w14:paraId="1DAC1641">
      <w:pPr>
        <w:pStyle w:val="145"/>
        <w:rPr>
          <w:rFonts w:hint="eastAsia"/>
          <w:lang w:eastAsia="zh-CN"/>
        </w:rPr>
      </w:pPr>
      <w:r>
        <w:drawing>
          <wp:inline distT="0" distB="0" distL="0" distR="0">
            <wp:extent cx="6188710" cy="2878455"/>
            <wp:effectExtent l="0" t="0" r="2540" b="0"/>
            <wp:docPr id="191673793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5FE8DBF">
      <w:pPr>
        <w:pStyle w:val="143"/>
        <w:rPr>
          <w:lang w:eastAsia="zh-CN"/>
        </w:rPr>
      </w:pPr>
      <w:r>
        <w:rPr>
          <w:rFonts w:hint="eastAsia"/>
          <w:lang w:eastAsia="zh-CN"/>
        </w:rPr>
        <w:t>来源：QYResearch 机械及设备研究中心</w:t>
      </w:r>
    </w:p>
    <w:p w14:paraId="2B28E292">
      <w:pPr>
        <w:pStyle w:val="145"/>
        <w:rPr>
          <w:rFonts w:hint="eastAsia"/>
          <w:lang w:eastAsia="zh-CN"/>
        </w:rPr>
      </w:pPr>
      <w:r>
        <w:rPr>
          <w:rFonts w:hint="eastAsia"/>
          <w:lang w:eastAsia="zh-CN"/>
        </w:rPr>
        <w:t>刻线光栅是通过机械加工工艺制造的衍射光栅，其原理是在反射表面上使用刻线机精确地刻制出规则排列的细密沟槽。这种方法能够保证沟槽间距和衍射角的高精度，从而实现对特定波长范围内的光线高效分散。刻线光栅广泛应用于对效率和光强要求较高的领域，例如光谱分析、单色仪和光学仪器等，但与其它类型的光栅相比，其对散射光的抑制能力较弱。</w:t>
      </w:r>
    </w:p>
    <w:p w14:paraId="01F68A5B">
      <w:pPr>
        <w:pStyle w:val="145"/>
        <w:rPr>
          <w:lang w:eastAsia="zh-CN"/>
        </w:rPr>
      </w:pPr>
      <w:r>
        <w:rPr>
          <w:rFonts w:hint="eastAsia"/>
          <w:lang w:eastAsia="zh-CN"/>
        </w:rPr>
        <w:t>全息光栅则是利用激光干涉技术在光敏材料上形成精细的线状或沟槽结构而制成的衍射光栅。与机械刻线光栅不同，全息光栅几乎不存在周期性误差，并且具有极低的散射光，因此非常适合用于对分辨率和信噪比要求极高的光学应用。它们常用于分析仪器、通信系统和激光系统等需要高精度和高光谱纯度的场合。</w:t>
      </w:r>
    </w:p>
    <w:p w14:paraId="5C6C75F2">
      <w:pPr>
        <w:pStyle w:val="145"/>
        <w:rPr>
          <w:rFonts w:hint="eastAsia"/>
          <w:lang w:eastAsia="zh-CN"/>
        </w:rPr>
      </w:pPr>
      <w:r>
        <w:rPr>
          <w:rFonts w:hint="eastAsia"/>
          <w:lang w:eastAsia="zh-CN"/>
        </w:rPr>
        <w:t>就产品类型而言，目前刻划光栅是最主要的细分产品，占据大约60.72%的份额。</w:t>
      </w:r>
    </w:p>
    <w:p w14:paraId="41C3AE68">
      <w:pPr>
        <w:pStyle w:val="145"/>
        <w:rPr>
          <w:lang w:eastAsia="zh-CN"/>
        </w:rPr>
      </w:pPr>
    </w:p>
    <w:p w14:paraId="0B069045">
      <w:pPr>
        <w:pStyle w:val="148"/>
        <w:rPr>
          <w:lang w:eastAsia="zh-CN"/>
        </w:rPr>
      </w:pPr>
      <w:r>
        <w:rPr>
          <w:lang w:eastAsia="zh-CN"/>
        </w:rPr>
        <w:t>衍射光栅</w:t>
      </w:r>
      <w:r>
        <w:rPr>
          <w:rFonts w:hint="eastAsia"/>
          <w:lang w:eastAsia="zh-CN"/>
        </w:rPr>
        <w:t>，全球市场规模，按应用细分，</w:t>
      </w:r>
      <w:r>
        <w:rPr>
          <w:rFonts w:ascii="Book Antiqua" w:hAnsi="Book Antiqua" w:cs="宋体"/>
          <w:sz w:val="22"/>
          <w:lang w:eastAsia="zh-CN"/>
        </w:rPr>
        <w:t>单色仪和光谱仪</w:t>
      </w:r>
      <w:r>
        <w:rPr>
          <w:rFonts w:hint="eastAsia"/>
          <w:lang w:eastAsia="zh-CN"/>
        </w:rPr>
        <w:t>是最大的下游市场，占有</w:t>
      </w:r>
      <w:r>
        <w:rPr>
          <w:rFonts w:ascii="Book Antiqua" w:hAnsi="Book Antiqua" w:cs="宋体"/>
          <w:sz w:val="22"/>
          <w:lang w:eastAsia="zh-CN"/>
        </w:rPr>
        <w:t>45.89%</w:t>
      </w:r>
      <w:r>
        <w:rPr>
          <w:rFonts w:hint="eastAsia"/>
          <w:lang w:eastAsia="zh-CN"/>
        </w:rPr>
        <w:t>份额。</w:t>
      </w:r>
    </w:p>
    <w:p w14:paraId="1F9213C6">
      <w:pPr>
        <w:widowControl/>
        <w:topLinePunct w:val="0"/>
        <w:spacing w:after="0"/>
        <w:jc w:val="left"/>
        <w:rPr>
          <w:rFonts w:hint="eastAsia" w:ascii="宋体" w:hAnsi="宋体" w:cs="宋体"/>
          <w:kern w:val="0"/>
          <w:sz w:val="24"/>
          <w:szCs w:val="24"/>
        </w:rPr>
      </w:pPr>
      <w:r>
        <w:drawing>
          <wp:inline distT="0" distB="0" distL="0" distR="0">
            <wp:extent cx="6188710" cy="2995930"/>
            <wp:effectExtent l="0" t="0" r="2540" b="0"/>
            <wp:docPr id="143981211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CF26C22">
      <w:pPr>
        <w:pStyle w:val="143"/>
        <w:rPr>
          <w:lang w:eastAsia="zh-CN"/>
        </w:rPr>
      </w:pPr>
      <w:r>
        <w:rPr>
          <w:rFonts w:hint="eastAsia"/>
          <w:lang w:eastAsia="zh-CN"/>
        </w:rPr>
        <w:t>来源：QYResearch 机械及设备研究中心</w:t>
      </w:r>
    </w:p>
    <w:p w14:paraId="5D1ADF70">
      <w:pPr>
        <w:pStyle w:val="145"/>
        <w:rPr>
          <w:rFonts w:hint="eastAsia"/>
          <w:lang w:eastAsia="zh-CN"/>
        </w:rPr>
      </w:pPr>
      <w:r>
        <w:rPr>
          <w:rFonts w:hint="eastAsia"/>
          <w:lang w:eastAsia="zh-CN"/>
        </w:rPr>
        <w:t>单色仪和光谱仪的应用离不开衍射光栅，它作为色散元件，能够高精度地将光线分解为不同波长。通过控制光栅的线密度和衍射角，可以实现精细的波长选择，这对于化学、生物学和物理学等领域的分析仪器至关重要。因此，衍射光栅在实验室测试、质量控制和材料研究等需要精确光谱分析的领域中不可或缺。</w:t>
      </w:r>
    </w:p>
    <w:p w14:paraId="6AFAB9C1">
      <w:pPr>
        <w:pStyle w:val="145"/>
        <w:rPr>
          <w:rFonts w:hint="eastAsia"/>
          <w:lang w:eastAsia="zh-CN"/>
        </w:rPr>
      </w:pPr>
      <w:r>
        <w:rPr>
          <w:rFonts w:hint="eastAsia"/>
          <w:lang w:eastAsia="zh-CN"/>
        </w:rPr>
        <w:t>激光应用也广泛使用衍射光栅来控制和调节系统内的光束，尤其是在波长选择、稳定和脉冲压缩方面。衍射光栅使激光能够产生波长范围广泛、高度可控的光束，从而提升了医疗诊断、通信、国防和材料加工等领域的性能。它们能够精确地处理高功率激光，这使得它们成为推动激光技术发展的重要器件。</w:t>
      </w:r>
    </w:p>
    <w:p w14:paraId="2FB51ACC">
      <w:pPr>
        <w:pStyle w:val="145"/>
        <w:rPr>
          <w:rFonts w:hint="eastAsia"/>
          <w:lang w:eastAsia="zh-CN"/>
        </w:rPr>
      </w:pPr>
      <w:r>
        <w:rPr>
          <w:rFonts w:hint="eastAsia"/>
          <w:lang w:eastAsia="zh-CN"/>
        </w:rPr>
        <w:t>光通信领域也依赖衍射光栅来实现密集波分复用系统中的信号管理。通过将单根光纤传输的多路光信号进行分离和重组，衍射光栅能够高效利用带宽，提高全球通信网络的传输速度和可靠性。其高精度和低插入损耗对于现代数据通信基础设施至关重要。</w:t>
      </w:r>
    </w:p>
    <w:p w14:paraId="51D1DD59">
      <w:pPr>
        <w:pStyle w:val="145"/>
        <w:rPr>
          <w:rFonts w:hint="eastAsia"/>
          <w:lang w:eastAsia="zh-CN"/>
        </w:rPr>
      </w:pPr>
      <w:r>
        <w:rPr>
          <w:rFonts w:hint="eastAsia"/>
          <w:lang w:eastAsia="zh-CN"/>
        </w:rPr>
        <w:t>天文学领域利用衍射光栅对遥远恒星、星系和其他天体的光进行分析。这使天文学家能够确定天体的化学成分、速度、温度和其他物理特性，从而深入了解宇宙的结构和演化。因此，衍射光栅在天文观测和空间探索中发挥着核心作用。</w:t>
      </w:r>
    </w:p>
    <w:p w14:paraId="107971CF">
      <w:pPr>
        <w:pStyle w:val="145"/>
        <w:rPr>
          <w:lang w:eastAsia="zh-CN"/>
        </w:rPr>
      </w:pPr>
      <w:r>
        <w:rPr>
          <w:lang w:eastAsia="zh-CN"/>
        </w:rPr>
        <w:t>就产品应用而言，目前单色仪和光谱仪是最主要的需求来源，占据大约45.89%的份额。</w:t>
      </w:r>
    </w:p>
    <w:p w14:paraId="07A95001">
      <w:pPr>
        <w:pStyle w:val="145"/>
        <w:rPr>
          <w:lang w:eastAsia="zh-CN"/>
        </w:rPr>
      </w:pPr>
      <w:r>
        <w:rPr>
          <w:rFonts w:hint="eastAsia"/>
          <w:lang w:eastAsia="zh-CN"/>
        </w:rPr>
        <w:t>在市场调查报告方面，QYResearch研究团队深入挖掘市场数据，通过科学的方法和严谨的分析，为客户提供准确、全面的市场现状和趋势信息，帮助企业了解目标市场的规模、增长潜力、竞争格局等关键要素。市场研究报告则更加注重对特定行业或细分市场的深度剖析，从宏观经济环境、政策法规、技术创新等多个维度进行综合分析，为企业制定发展战略提供有力支持。</w:t>
      </w:r>
      <w:bookmarkEnd w:id="1"/>
      <w:bookmarkEnd w:id="2"/>
      <w:bookmarkEnd w:id="3"/>
      <w:bookmarkEnd w:id="4"/>
      <w:bookmarkEnd w:id="5"/>
      <w:bookmarkEnd w:id="6"/>
      <w:bookmarkEnd w:id="7"/>
      <w:bookmarkEnd w:id="8"/>
      <w:bookmarkEnd w:id="9"/>
      <w:bookmarkEnd w:id="10"/>
      <w:bookmarkEnd w:id="11"/>
      <w:bookmarkEnd w:id="12"/>
      <w:bookmarkEnd w:id="13"/>
      <w:bookmarkStart w:id="14" w:name="_GoBack"/>
      <w:bookmarkEnd w:id="14"/>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1208"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2F4F2D79"/>
    <w:multiLevelType w:val="multilevel"/>
    <w:tmpl w:val="2F4F2D79"/>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4">
    <w:nsid w:val="64BF42E9"/>
    <w:multiLevelType w:val="multilevel"/>
    <w:tmpl w:val="64BF42E9"/>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75F"/>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8E"/>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D84"/>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BC9"/>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CD5"/>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2D3"/>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85"/>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8D"/>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1E"/>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8A9"/>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5F6E"/>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9E2"/>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CE5"/>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5E70"/>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3E9"/>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3E8A"/>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0A0"/>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9C6"/>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A2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B6"/>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DE2"/>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AF"/>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6FEF"/>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27D"/>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7AC"/>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45"/>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7"/>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6CD"/>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3CD1"/>
    <w:rsid w:val="00684076"/>
    <w:rsid w:val="00684462"/>
    <w:rsid w:val="00684B5E"/>
    <w:rsid w:val="00684B70"/>
    <w:rsid w:val="00684C1D"/>
    <w:rsid w:val="00684D98"/>
    <w:rsid w:val="0068549F"/>
    <w:rsid w:val="006855C8"/>
    <w:rsid w:val="00685936"/>
    <w:rsid w:val="00685D0A"/>
    <w:rsid w:val="00685D9C"/>
    <w:rsid w:val="0068617D"/>
    <w:rsid w:val="006861C0"/>
    <w:rsid w:val="00686219"/>
    <w:rsid w:val="0068636B"/>
    <w:rsid w:val="006863EF"/>
    <w:rsid w:val="0068656F"/>
    <w:rsid w:val="006865D7"/>
    <w:rsid w:val="00686723"/>
    <w:rsid w:val="006867AF"/>
    <w:rsid w:val="00686D71"/>
    <w:rsid w:val="00686FF5"/>
    <w:rsid w:val="00687017"/>
    <w:rsid w:val="006872E6"/>
    <w:rsid w:val="00687487"/>
    <w:rsid w:val="00687535"/>
    <w:rsid w:val="0068798A"/>
    <w:rsid w:val="006879D7"/>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56"/>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9E4"/>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8A5"/>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311"/>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C96"/>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4A1"/>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494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575"/>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3CF"/>
    <w:rsid w:val="007446BD"/>
    <w:rsid w:val="00744849"/>
    <w:rsid w:val="00744F37"/>
    <w:rsid w:val="00745401"/>
    <w:rsid w:val="00745449"/>
    <w:rsid w:val="00745488"/>
    <w:rsid w:val="0074554C"/>
    <w:rsid w:val="0074556E"/>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7A2"/>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BC6"/>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24F"/>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9BB"/>
    <w:rsid w:val="00786B99"/>
    <w:rsid w:val="00786DBC"/>
    <w:rsid w:val="0078704C"/>
    <w:rsid w:val="0078706A"/>
    <w:rsid w:val="007872B5"/>
    <w:rsid w:val="007872E4"/>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4C3"/>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56B"/>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CD"/>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36A"/>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69E2"/>
    <w:rsid w:val="008672DF"/>
    <w:rsid w:val="008674FC"/>
    <w:rsid w:val="0086777E"/>
    <w:rsid w:val="00867791"/>
    <w:rsid w:val="00867A84"/>
    <w:rsid w:val="00867C36"/>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4D7"/>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774"/>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27"/>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09E"/>
    <w:rsid w:val="0090413F"/>
    <w:rsid w:val="009041E1"/>
    <w:rsid w:val="009042B0"/>
    <w:rsid w:val="00904305"/>
    <w:rsid w:val="00904428"/>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010"/>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793"/>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020"/>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886"/>
    <w:rsid w:val="00A46D2D"/>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A33"/>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02"/>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2FED"/>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DF2"/>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A5"/>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0EBE"/>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AA2"/>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791"/>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910"/>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9FB"/>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5D4E"/>
    <w:rsid w:val="00C56393"/>
    <w:rsid w:val="00C56D96"/>
    <w:rsid w:val="00C56ED2"/>
    <w:rsid w:val="00C56F5D"/>
    <w:rsid w:val="00C576F1"/>
    <w:rsid w:val="00C577AF"/>
    <w:rsid w:val="00C578BE"/>
    <w:rsid w:val="00C57B0A"/>
    <w:rsid w:val="00C57BB6"/>
    <w:rsid w:val="00C57E2B"/>
    <w:rsid w:val="00C60294"/>
    <w:rsid w:val="00C60B60"/>
    <w:rsid w:val="00C60DC4"/>
    <w:rsid w:val="00C60E09"/>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966"/>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1"/>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37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095"/>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84C"/>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348"/>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11"/>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06C"/>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2C7"/>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11F"/>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A77"/>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29A"/>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3CC"/>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65E"/>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7FF"/>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1BE"/>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0AF"/>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0FB138C"/>
    <w:rsid w:val="3B3C32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ind w:left="357"/>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18010\Desktop\&#30446;&#24405;&#23459;&#20256;&#25991;&#20214;\9.24%20Diffraction%20Gratings%20&#34893;&#23556;&#20809;&#26629;\&#25968;&#25454;&#3492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18010\Desktop\&#30446;&#24405;&#23459;&#20256;&#25991;&#20214;\9.24%20Diffraction%20Gratings%20&#34893;&#23556;&#20809;&#26629;\&#25968;&#25454;&#3492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18010\Desktop\&#30446;&#24405;&#23459;&#20256;&#25991;&#20214;\9.24%20Diffraction%20Gratings%20&#34893;&#23556;&#20809;&#26629;\&#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ysClr val="windowText" lastClr="000000"/>
                </a:solidFill>
                <a:latin typeface="Times New Roman" panose="02020603050405020304" charset="0"/>
                <a:ea typeface="宋体" panose="02010600030101010101" charset="-122"/>
                <a:cs typeface="+mn-cs"/>
              </a:defRPr>
            </a:pPr>
            <a:r>
              <a:rPr lang="zh-CN" altLang="en-US"/>
              <a:t>全球</a:t>
            </a:r>
            <a:r>
              <a:rPr lang="zh-CN"/>
              <a:t>市场主要企业排名</a:t>
            </a:r>
            <a:endParaRPr lang="en-US"/>
          </a:p>
        </c:rich>
      </c:tx>
      <c:layout>
        <c:manualLayout>
          <c:xMode val="edge"/>
          <c:yMode val="edge"/>
          <c:x val="0.321919722155943"/>
          <c:y val="0.0346321495186711"/>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2024</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Pt>
            <c:idx val="16"/>
            <c:invertIfNegative val="0"/>
            <c:bubble3D val="0"/>
            <c:spPr>
              <a:solidFill>
                <a:schemeClr val="accent5">
                  <a:lumMod val="80000"/>
                  <a:lumOff val="20000"/>
                </a:schemeClr>
              </a:solidFill>
              <a:ln>
                <a:noFill/>
              </a:ln>
              <a:effectLst/>
            </c:spPr>
          </c:dPt>
          <c:dLbls>
            <c:delete val="1"/>
          </c:dLbls>
          <c:cat>
            <c:strRef>
              <c:f>企业收入!$H$2:$H$18</c:f>
              <c:strCache>
                <c:ptCount val="17"/>
                <c:pt idx="0">
                  <c:v>HORIBA</c:v>
                </c:pt>
                <c:pt idx="1">
                  <c:v>MKS Instruments</c:v>
                </c:pt>
                <c:pt idx="2">
                  <c:v>Edmund Optics</c:v>
                </c:pt>
                <c:pt idx="3">
                  <c:v>Shimadzu Corporation</c:v>
                </c:pt>
                <c:pt idx="4">
                  <c:v>Lightsmyth</c:v>
                </c:pt>
                <c:pt idx="5">
                  <c:v>Optometrics (Dynasil)</c:v>
                </c:pt>
                <c:pt idx="6">
                  <c:v>Zeiss</c:v>
                </c:pt>
                <c:pt idx="7">
                  <c:v>Jenoptik</c:v>
                </c:pt>
                <c:pt idx="8">
                  <c:v>Headwall Photonics</c:v>
                </c:pt>
                <c:pt idx="9">
                  <c:v>Plymouth Grating Lab</c:v>
                </c:pt>
                <c:pt idx="10">
                  <c:v>Kaiser Optical Systems</c:v>
                </c:pt>
                <c:pt idx="11">
                  <c:v>Photop Technologies</c:v>
                </c:pt>
                <c:pt idx="12">
                  <c:v>Spectrogon AB</c:v>
                </c:pt>
                <c:pt idx="13">
                  <c:v>Spectrum Scientific</c:v>
                </c:pt>
                <c:pt idx="14">
                  <c:v>Wasatch Photonics</c:v>
                </c:pt>
                <c:pt idx="15">
                  <c:v>GratingWorks</c:v>
                </c:pt>
                <c:pt idx="16">
                  <c:v>沈阳亿贝特光电</c:v>
                </c:pt>
              </c:strCache>
            </c:strRef>
          </c:cat>
          <c:val>
            <c:numRef>
              <c:f>企业收入!$I$2:$I$18</c:f>
              <c:numCache>
                <c:formatCode>0.00%</c:formatCode>
                <c:ptCount val="17"/>
                <c:pt idx="0">
                  <c:v>0.1788</c:v>
                </c:pt>
                <c:pt idx="1">
                  <c:v>0.1442</c:v>
                </c:pt>
                <c:pt idx="2">
                  <c:v>0.0895</c:v>
                </c:pt>
                <c:pt idx="3">
                  <c:v>0.0504</c:v>
                </c:pt>
                <c:pt idx="4">
                  <c:v>0.0457</c:v>
                </c:pt>
                <c:pt idx="5">
                  <c:v>0.0404</c:v>
                </c:pt>
                <c:pt idx="6">
                  <c:v>0.0383</c:v>
                </c:pt>
                <c:pt idx="7">
                  <c:v>0.0324</c:v>
                </c:pt>
                <c:pt idx="8">
                  <c:v>0.0288</c:v>
                </c:pt>
                <c:pt idx="9">
                  <c:v>0.0261</c:v>
                </c:pt>
                <c:pt idx="10">
                  <c:v>0.0256</c:v>
                </c:pt>
                <c:pt idx="11">
                  <c:v>0.0221</c:v>
                </c:pt>
                <c:pt idx="12">
                  <c:v>0.0206</c:v>
                </c:pt>
                <c:pt idx="13">
                  <c:v>0.0176</c:v>
                </c:pt>
                <c:pt idx="14">
                  <c:v>0.0144</c:v>
                </c:pt>
                <c:pt idx="15">
                  <c:v>0.0141</c:v>
                </c:pt>
                <c:pt idx="16">
                  <c:v>0.0086</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262e55ea-51ef-419d-9f78-2771b467991a}"/>
      </c:ext>
    </c:extLst>
  </c:chart>
  <c:spPr>
    <a:solidFill>
      <a:schemeClr val="bg1"/>
    </a:solidFill>
    <a:ln w="9525" cap="flat" cmpd="sng" algn="ctr">
      <a:noFill/>
      <a:round/>
    </a:ln>
    <a:effectLst/>
  </c:spPr>
  <c:txPr>
    <a:bodyPr/>
    <a:lstStyle/>
    <a:p>
      <a:pPr>
        <a:defRPr lang="zh-CN" baseline="0">
          <a:solidFill>
            <a:sysClr val="windowText" lastClr="000000"/>
          </a:solidFill>
          <a:latin typeface="Times New Roman" panose="02020603050405020304" charset="0"/>
          <a:ea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分类!$R$2</c:f>
              <c:strCache>
                <c:ptCount val="1"/>
                <c:pt idx="0">
                  <c:v>刻划光栅</c:v>
                </c:pt>
              </c:strCache>
            </c:strRef>
          </c:tx>
          <c:spPr>
            <a:solidFill>
              <a:srgbClr val="002060"/>
            </a:solidFill>
            <a:ln>
              <a:noFill/>
            </a:ln>
            <a:effectLst/>
          </c:spPr>
          <c:invertIfNegative val="0"/>
          <c:dLbls>
            <c:delete val="1"/>
          </c:dLbls>
          <c:cat>
            <c:strRef>
              <c:f>分类!$S$1:$AD$1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分类!$S$2:$AD$2</c:f>
              <c:numCache>
                <c:formatCode>0.00%</c:formatCode>
                <c:ptCount val="12"/>
                <c:pt idx="0">
                  <c:v>0.636222990046929</c:v>
                </c:pt>
                <c:pt idx="1">
                  <c:v>0.631992534747802</c:v>
                </c:pt>
                <c:pt idx="2">
                  <c:v>0.625434993685983</c:v>
                </c:pt>
                <c:pt idx="3">
                  <c:v>0.619786377568362</c:v>
                </c:pt>
                <c:pt idx="4">
                  <c:v>0.607219920027138</c:v>
                </c:pt>
                <c:pt idx="5">
                  <c:v>0.602350762493427</c:v>
                </c:pt>
                <c:pt idx="6">
                  <c:v>0.619582571314566</c:v>
                </c:pt>
                <c:pt idx="7">
                  <c:v>0.616294723536337</c:v>
                </c:pt>
                <c:pt idx="8">
                  <c:v>0.598850790679587</c:v>
                </c:pt>
                <c:pt idx="9">
                  <c:v>0.586945993540583</c:v>
                </c:pt>
                <c:pt idx="10">
                  <c:v>0.581025647078283</c:v>
                </c:pt>
                <c:pt idx="11">
                  <c:v>0.579074259514628</c:v>
                </c:pt>
              </c:numCache>
            </c:numRef>
          </c:val>
        </c:ser>
        <c:ser>
          <c:idx val="1"/>
          <c:order val="1"/>
          <c:tx>
            <c:strRef>
              <c:f>分类!$R$3</c:f>
              <c:strCache>
                <c:ptCount val="1"/>
                <c:pt idx="0">
                  <c:v>全息光栅</c:v>
                </c:pt>
              </c:strCache>
            </c:strRef>
          </c:tx>
          <c:spPr>
            <a:solidFill>
              <a:schemeClr val="bg1">
                <a:lumMod val="50000"/>
              </a:schemeClr>
            </a:solidFill>
            <a:ln>
              <a:noFill/>
            </a:ln>
            <a:effectLst/>
          </c:spPr>
          <c:invertIfNegative val="0"/>
          <c:dLbls>
            <c:delete val="1"/>
          </c:dLbls>
          <c:cat>
            <c:strRef>
              <c:f>分类!$S$1:$AD$1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分类!$S$3:$AD$3</c:f>
              <c:numCache>
                <c:formatCode>0.00%</c:formatCode>
                <c:ptCount val="12"/>
                <c:pt idx="0">
                  <c:v>0.363777009953071</c:v>
                </c:pt>
                <c:pt idx="1">
                  <c:v>0.368007465252198</c:v>
                </c:pt>
                <c:pt idx="2">
                  <c:v>0.374565006314017</c:v>
                </c:pt>
                <c:pt idx="3">
                  <c:v>0.380213622431638</c:v>
                </c:pt>
                <c:pt idx="4">
                  <c:v>0.392780079972862</c:v>
                </c:pt>
                <c:pt idx="5">
                  <c:v>0.397649237506573</c:v>
                </c:pt>
                <c:pt idx="6">
                  <c:v>0.380417428685434</c:v>
                </c:pt>
                <c:pt idx="7">
                  <c:v>0.383705276463663</c:v>
                </c:pt>
                <c:pt idx="8">
                  <c:v>0.401149209320413</c:v>
                </c:pt>
                <c:pt idx="9">
                  <c:v>0.413054006459417</c:v>
                </c:pt>
                <c:pt idx="10">
                  <c:v>0.418974352921717</c:v>
                </c:pt>
                <c:pt idx="11">
                  <c:v>0.420925740485372</c:v>
                </c:pt>
              </c:numCache>
            </c:numRef>
          </c:val>
        </c:ser>
        <c:ser>
          <c:idx val="2"/>
          <c:order val="2"/>
          <c:tx>
            <c:strRef>
              <c:f>分类!$R$4</c:f>
              <c:strCache>
                <c:ptCount val="1"/>
                <c:pt idx="0">
                  <c:v>0</c:v>
                </c:pt>
              </c:strCache>
            </c:strRef>
          </c:tx>
          <c:spPr>
            <a:solidFill>
              <a:schemeClr val="accent3"/>
            </a:solidFill>
            <a:ln>
              <a:noFill/>
            </a:ln>
            <a:effectLst/>
          </c:spPr>
          <c:invertIfNegative val="0"/>
          <c:dLbls>
            <c:delete val="1"/>
          </c:dLbls>
          <c:cat>
            <c:strRef>
              <c:f>分类!$S$1:$AD$1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分类!$S$4:$AD$4</c:f>
            </c:numRef>
          </c:val>
        </c:ser>
        <c:ser>
          <c:idx val="3"/>
          <c:order val="3"/>
          <c:tx>
            <c:strRef>
              <c:f>分类!$R$5</c:f>
              <c:strCache>
                <c:ptCount val="1"/>
                <c:pt idx="0">
                  <c:v>0</c:v>
                </c:pt>
              </c:strCache>
            </c:strRef>
          </c:tx>
          <c:spPr>
            <a:solidFill>
              <a:schemeClr val="accent4"/>
            </a:solidFill>
            <a:ln>
              <a:noFill/>
            </a:ln>
            <a:effectLst/>
          </c:spPr>
          <c:invertIfNegative val="0"/>
          <c:dLbls>
            <c:delete val="1"/>
          </c:dLbls>
          <c:cat>
            <c:strRef>
              <c:f>分类!$S$1:$AD$1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分类!$S$5:$AD$5</c:f>
            </c:numRef>
          </c:val>
        </c:ser>
        <c:ser>
          <c:idx val="4"/>
          <c:order val="4"/>
          <c:tx>
            <c:strRef>
              <c:f>分类!$R$6</c:f>
              <c:strCache>
                <c:ptCount val="1"/>
                <c:pt idx="0">
                  <c:v>0</c:v>
                </c:pt>
              </c:strCache>
            </c:strRef>
          </c:tx>
          <c:spPr>
            <a:solidFill>
              <a:schemeClr val="accent5"/>
            </a:solidFill>
            <a:ln>
              <a:noFill/>
            </a:ln>
            <a:effectLst/>
          </c:spPr>
          <c:invertIfNegative val="0"/>
          <c:dLbls>
            <c:delete val="1"/>
          </c:dLbls>
          <c:cat>
            <c:strRef>
              <c:f>分类!$S$1:$AD$1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分类!$S$6:$AD$6</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64911774-d574-49bf-807d-8869b33071c7}"/>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33271016533186"/>
          <c:y val="0.03175"/>
          <c:w val="0.897009594053696"/>
          <c:h val="0.755441666666667"/>
        </c:manualLayout>
      </c:layout>
      <c:barChart>
        <c:barDir val="col"/>
        <c:grouping val="stacked"/>
        <c:varyColors val="0"/>
        <c:ser>
          <c:idx val="0"/>
          <c:order val="0"/>
          <c:tx>
            <c:strRef>
              <c:f>应用!$A$2</c:f>
              <c:strCache>
                <c:ptCount val="1"/>
                <c:pt idx="0">
                  <c:v>单色仪和光谱仪</c:v>
                </c:pt>
              </c:strCache>
            </c:strRef>
          </c:tx>
          <c:spPr>
            <a:solidFill>
              <a:srgbClr val="002060"/>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应用!$B$2:$M$2</c:f>
              <c:numCache>
                <c:formatCode>#,##0.00_);[Red]\(#,##0.00\)</c:formatCode>
                <c:ptCount val="12"/>
                <c:pt idx="0">
                  <c:v>92.727762</c:v>
                </c:pt>
                <c:pt idx="1">
                  <c:v>96.999804</c:v>
                </c:pt>
                <c:pt idx="2">
                  <c:v>101.0058959052</c:v>
                </c:pt>
                <c:pt idx="3">
                  <c:v>105.177439406085</c:v>
                </c:pt>
                <c:pt idx="4">
                  <c:v>112.781768275145</c:v>
                </c:pt>
                <c:pt idx="5">
                  <c:v>118.56747298766</c:v>
                </c:pt>
                <c:pt idx="6">
                  <c:v>121.211527635284</c:v>
                </c:pt>
                <c:pt idx="7">
                  <c:v>125.611506088445</c:v>
                </c:pt>
                <c:pt idx="8">
                  <c:v>130.799261289898</c:v>
                </c:pt>
                <c:pt idx="9">
                  <c:v>138.817256006969</c:v>
                </c:pt>
                <c:pt idx="10">
                  <c:v>144.550408680057</c:v>
                </c:pt>
                <c:pt idx="11">
                  <c:v>151.532193419303</c:v>
                </c:pt>
              </c:numCache>
            </c:numRef>
          </c:val>
        </c:ser>
        <c:ser>
          <c:idx val="1"/>
          <c:order val="1"/>
          <c:tx>
            <c:strRef>
              <c:f>应用!$A$3</c:f>
              <c:strCache>
                <c:ptCount val="1"/>
                <c:pt idx="0">
                  <c:v>激光技术</c:v>
                </c:pt>
              </c:strCache>
            </c:strRef>
          </c:tx>
          <c:spPr>
            <a:solidFill>
              <a:schemeClr val="bg1">
                <a:lumMod val="50000"/>
              </a:schemeClr>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应用!$B$3:$M$3</c:f>
              <c:numCache>
                <c:formatCode>#,##0.00_);[Red]\(#,##0.00\)</c:formatCode>
                <c:ptCount val="12"/>
                <c:pt idx="0">
                  <c:v>42.27238</c:v>
                </c:pt>
                <c:pt idx="1">
                  <c:v>44.488785</c:v>
                </c:pt>
                <c:pt idx="2">
                  <c:v>46.819997334</c:v>
                </c:pt>
                <c:pt idx="3">
                  <c:v>49.2733651943016</c:v>
                </c:pt>
                <c:pt idx="4">
                  <c:v>51.9538362608716</c:v>
                </c:pt>
                <c:pt idx="5">
                  <c:v>54.9879402985065</c:v>
                </c:pt>
                <c:pt idx="6">
                  <c:v>57.8693083701482</c:v>
                </c:pt>
                <c:pt idx="7">
                  <c:v>61.4803532124455</c:v>
                </c:pt>
                <c:pt idx="8">
                  <c:v>66.0544914914514</c:v>
                </c:pt>
                <c:pt idx="9">
                  <c:v>70.8368366754325</c:v>
                </c:pt>
                <c:pt idx="10">
                  <c:v>76.0362604874093</c:v>
                </c:pt>
                <c:pt idx="11">
                  <c:v>81.9898996835734</c:v>
                </c:pt>
              </c:numCache>
            </c:numRef>
          </c:val>
        </c:ser>
        <c:ser>
          <c:idx val="2"/>
          <c:order val="2"/>
          <c:tx>
            <c:strRef>
              <c:f>应用!$A$4</c:f>
              <c:strCache>
                <c:ptCount val="1"/>
                <c:pt idx="0">
                  <c:v>光通信</c:v>
                </c:pt>
              </c:strCache>
            </c:strRef>
          </c:tx>
          <c:spPr>
            <a:solidFill>
              <a:schemeClr val="accent6">
                <a:lumMod val="75000"/>
              </a:schemeClr>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应用!$B$4:$M$4</c:f>
              <c:numCache>
                <c:formatCode>#,##0.00_);[Red]\(#,##0.00\)</c:formatCode>
                <c:ptCount val="12"/>
                <c:pt idx="0">
                  <c:v>38.258443</c:v>
                </c:pt>
                <c:pt idx="1">
                  <c:v>40.884888</c:v>
                </c:pt>
                <c:pt idx="2">
                  <c:v>43.6916386475149</c:v>
                </c:pt>
                <c:pt idx="3">
                  <c:v>47.1301706090743</c:v>
                </c:pt>
                <c:pt idx="4">
                  <c:v>51.4520072539264</c:v>
                </c:pt>
                <c:pt idx="5">
                  <c:v>56.0158002973496</c:v>
                </c:pt>
                <c:pt idx="6">
                  <c:v>59.8640857777776</c:v>
                </c:pt>
                <c:pt idx="7">
                  <c:v>64.5753893284887</c:v>
                </c:pt>
                <c:pt idx="8">
                  <c:v>69.6574724686407</c:v>
                </c:pt>
                <c:pt idx="9">
                  <c:v>75.1395155519227</c:v>
                </c:pt>
                <c:pt idx="10">
                  <c:v>80.3767397858918</c:v>
                </c:pt>
                <c:pt idx="11">
                  <c:v>86.260317138219</c:v>
                </c:pt>
              </c:numCache>
            </c:numRef>
          </c:val>
        </c:ser>
        <c:ser>
          <c:idx val="3"/>
          <c:order val="3"/>
          <c:tx>
            <c:strRef>
              <c:f>应用!$A$5</c:f>
              <c:strCache>
                <c:ptCount val="1"/>
                <c:pt idx="0">
                  <c:v>天文学</c:v>
                </c:pt>
              </c:strCache>
            </c:strRef>
          </c:tx>
          <c:spPr>
            <a:solidFill>
              <a:schemeClr val="tx2">
                <a:lumMod val="60000"/>
                <a:lumOff val="40000"/>
              </a:schemeClr>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应用!$B$5:$M$5</c:f>
              <c:numCache>
                <c:formatCode>#,##0.00_);[Red]\(#,##0.00\)</c:formatCode>
                <c:ptCount val="12"/>
                <c:pt idx="0">
                  <c:v>12.041811</c:v>
                </c:pt>
                <c:pt idx="1">
                  <c:v>12.379488</c:v>
                </c:pt>
                <c:pt idx="2">
                  <c:v>12.7266341534628</c:v>
                </c:pt>
                <c:pt idx="3">
                  <c:v>13.0835149948112</c:v>
                </c:pt>
                <c:pt idx="4">
                  <c:v>14.1563632243858</c:v>
                </c:pt>
                <c:pt idx="5">
                  <c:v>14.6093668475661</c:v>
                </c:pt>
                <c:pt idx="6">
                  <c:v>14.9599916519077</c:v>
                </c:pt>
                <c:pt idx="7">
                  <c:v>15.2741514765977</c:v>
                </c:pt>
                <c:pt idx="8">
                  <c:v>15.7018277179425</c:v>
                </c:pt>
                <c:pt idx="9">
                  <c:v>16.1414788940449</c:v>
                </c:pt>
                <c:pt idx="10">
                  <c:v>16.4917489860456</c:v>
                </c:pt>
                <c:pt idx="11">
                  <c:v>16.899095186001</c:v>
                </c:pt>
              </c:numCache>
            </c:numRef>
          </c:val>
        </c:ser>
        <c:ser>
          <c:idx val="4"/>
          <c:order val="4"/>
          <c:tx>
            <c:strRef>
              <c:f>应用!$A$6</c:f>
              <c:strCache>
                <c:ptCount val="1"/>
                <c:pt idx="0">
                  <c:v>其他</c:v>
                </c:pt>
              </c:strCache>
            </c:strRef>
          </c:tx>
          <c:spPr>
            <a:solidFill>
              <a:schemeClr val="accent1">
                <a:lumMod val="75000"/>
              </a:schemeClr>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应用!$B$6:$M$6</c:f>
              <c:numCache>
                <c:formatCode>#,##0.00_);[Red]\(#,##0.00\)</c:formatCode>
                <c:ptCount val="12"/>
                <c:pt idx="0">
                  <c:v>8.609604</c:v>
                </c:pt>
                <c:pt idx="1">
                  <c:v>8.85703500000001</c:v>
                </c:pt>
                <c:pt idx="2">
                  <c:v>9.56583395982233</c:v>
                </c:pt>
                <c:pt idx="3">
                  <c:v>9.87550979572812</c:v>
                </c:pt>
                <c:pt idx="4">
                  <c:v>15.4360249856716</c:v>
                </c:pt>
                <c:pt idx="5">
                  <c:v>13.7694195689181</c:v>
                </c:pt>
                <c:pt idx="6">
                  <c:v>6.27508656488208</c:v>
                </c:pt>
                <c:pt idx="7">
                  <c:v>5.29859989402285</c:v>
                </c:pt>
                <c:pt idx="8">
                  <c:v>9.21986703206732</c:v>
                </c:pt>
                <c:pt idx="9">
                  <c:v>8.39181415963104</c:v>
                </c:pt>
                <c:pt idx="10">
                  <c:v>14.3598090722343</c:v>
                </c:pt>
                <c:pt idx="11">
                  <c:v>18.9909577126775</c:v>
                </c:pt>
              </c:numCache>
            </c:numRef>
          </c:val>
        </c:ser>
        <c:ser>
          <c:idx val="5"/>
          <c:order val="5"/>
          <c:tx>
            <c:strRef>
              <c:f>应用!$A$7</c:f>
              <c:strCache>
                <c:ptCount val="1"/>
                <c:pt idx="0">
                  <c:v/>
                </c:pt>
              </c:strCache>
            </c:strRef>
          </c:tx>
          <c:spPr>
            <a:solidFill>
              <a:schemeClr val="accent4">
                <a:lumMod val="60000"/>
                <a:lumOff val="40000"/>
              </a:schemeClr>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应用!$B$7:$M$7</c:f>
            </c:numRef>
          </c:val>
        </c:ser>
        <c:ser>
          <c:idx val="6"/>
          <c:order val="6"/>
          <c:tx>
            <c:strRef>
              <c:f>应用!$A$8</c:f>
              <c:strCache>
                <c:ptCount val="1"/>
                <c:pt idx="0">
                  <c:v/>
                </c:pt>
              </c:strCache>
            </c:strRef>
          </c:tx>
          <c:spPr>
            <a:solidFill>
              <a:schemeClr val="accent2">
                <a:lumMod val="60000"/>
                <a:lumOff val="40000"/>
              </a:schemeClr>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应用!$B$8:$M$8</c:f>
            </c:numRef>
          </c:val>
        </c:ser>
        <c:ser>
          <c:idx val="7"/>
          <c:order val="7"/>
          <c:tx>
            <c:strRef>
              <c:f>应用!$A$9</c:f>
              <c:strCache>
                <c:ptCount val="1"/>
                <c:pt idx="0">
                  <c:v/>
                </c:pt>
              </c:strCache>
            </c:strRef>
          </c:tx>
          <c:spPr>
            <a:solidFill>
              <a:schemeClr val="bg2">
                <a:lumMod val="50000"/>
              </a:schemeClr>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应用!$B$9:$M$9</c:f>
            </c:numRef>
          </c:val>
        </c:ser>
        <c:ser>
          <c:idx val="8"/>
          <c:order val="8"/>
          <c:tx>
            <c:strRef>
              <c:f>应用!$A$10</c:f>
              <c:strCache>
                <c:ptCount val="1"/>
                <c:pt idx="0">
                  <c:v/>
                </c:pt>
              </c:strCache>
            </c:strRef>
          </c:tx>
          <c:spPr>
            <a:solidFill>
              <a:schemeClr val="accent5">
                <a:lumMod val="60000"/>
                <a:lumOff val="40000"/>
              </a:schemeClr>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应用!$A$11</c:f>
              <c:strCache>
                <c:ptCount val="1"/>
                <c:pt idx="0">
                  <c:v>合计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应用!$B$11:$M$11</c:f>
              <c:numCache>
                <c:formatCode>#,##0.00_ </c:formatCode>
                <c:ptCount val="12"/>
                <c:pt idx="0">
                  <c:v>193.91</c:v>
                </c:pt>
                <c:pt idx="1">
                  <c:v>203.61</c:v>
                </c:pt>
                <c:pt idx="2">
                  <c:v>213.81</c:v>
                </c:pt>
                <c:pt idx="3">
                  <c:v>224.54</c:v>
                </c:pt>
                <c:pt idx="4">
                  <c:v>245.78</c:v>
                </c:pt>
                <c:pt idx="5">
                  <c:v>257.95</c:v>
                </c:pt>
                <c:pt idx="6">
                  <c:v>260.18</c:v>
                </c:pt>
                <c:pt idx="7">
                  <c:v>272.24</c:v>
                </c:pt>
                <c:pt idx="8">
                  <c:v>291.43292</c:v>
                </c:pt>
                <c:pt idx="9">
                  <c:v>309.326901288</c:v>
                </c:pt>
                <c:pt idx="10">
                  <c:v>331.814967011638</c:v>
                </c:pt>
                <c:pt idx="11">
                  <c:v>355.672463139774</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fc0455ea-2fd7-4df8-a125-754b98861f01}"/>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8</Pages>
  <Words>4016</Words>
  <Characters>4279</Characters>
  <Lines>56</Lines>
  <Paragraphs>18</Paragraphs>
  <TotalTime>30</TotalTime>
  <ScaleCrop>false</ScaleCrop>
  <LinksUpToDate>false</LinksUpToDate>
  <CharactersWithSpaces>4292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2025-09-24T09:36:00Z</dcterms:created>
  <dc:creator>yangj</dc:creator>
  <cp:lastModifiedBy>鼕鼕</cp:lastModifiedBy>
  <dcterms:modified xsi:type="dcterms:W3CDTF">2025-10-20T10:07:35Z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2052-12.1.0.22529</vt:lpwstr>
  </property>
  <property fmtid="{D5CDD505-2E9C-101B-9397-08002B2CF9AE}" pid="4" name="ICV">
    <vt:lpwstr>80172CC9C6484F428619698E46AD73EC_12</vt:lpwstr>
  </property>
</Properties>
</file>