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13" w:name="_GoBack"/>
      <w:bookmarkEnd w:id="13"/>
      <w:bookmarkStart w:id="0" w:name="_Toc481801204"/>
      <w:bookmarkStart w:id="1" w:name="OLE_LINK15"/>
      <w:bookmarkStart w:id="2" w:name="_Toc517262917"/>
      <w:bookmarkStart w:id="3" w:name="_Toc438987549"/>
      <w:bookmarkStart w:id="4" w:name="_Toc415818939"/>
      <w:bookmarkStart w:id="5" w:name="_Toc453597319"/>
      <w:bookmarkStart w:id="6" w:name="_Toc418070112"/>
      <w:bookmarkStart w:id="7" w:name="_Toc415143481"/>
      <w:bookmarkStart w:id="8" w:name="OLE_LINK39"/>
      <w:bookmarkStart w:id="9" w:name="OLE_LINK40"/>
      <w:bookmarkStart w:id="10" w:name="OLE_LINK13"/>
      <w:bookmarkStart w:id="11" w:name="_Toc415142861"/>
      <w:bookmarkStart w:id="12" w:name="OLE_LINK24"/>
      <w:r>
        <w:rPr>
          <w:lang w:eastAsia="zh-CN"/>
        </w:rPr>
        <w:t>管道检测机器人</w:t>
      </w:r>
      <w:r>
        <w:rPr>
          <w:rFonts w:hint="eastAsia"/>
          <w:lang w:eastAsia="zh-CN"/>
        </w:rPr>
        <w:t>全球市场总体规模</w:t>
      </w:r>
    </w:p>
    <w:p w14:paraId="320B184C">
      <w:pPr>
        <w:pStyle w:val="145"/>
        <w:rPr>
          <w:lang w:eastAsia="zh-CN"/>
        </w:rPr>
      </w:pPr>
      <w:r>
        <w:rPr>
          <w:rFonts w:hint="eastAsia"/>
        </w:rPr>
        <w:t>用于检查管道内堆积的残留物的机器人被称为管道内检查机器人。这种机器人有能力从地面向机器人的控制器发送视频反馈信息。通过这种方式，用户可以验证管道的实际状况，也可以测量管道壁上的沉积物厚度。</w:t>
      </w:r>
    </w:p>
    <w:p w14:paraId="09299E39">
      <w:pPr>
        <w:pStyle w:val="148"/>
      </w:pPr>
      <w:r>
        <w:t>管道检测机器人</w:t>
      </w:r>
      <w:r>
        <w:rPr>
          <w:rFonts w:hint="eastAsia"/>
          <w:lang w:eastAsia="zh-CN"/>
        </w:rPr>
        <w:t>图片</w:t>
      </w:r>
    </w:p>
    <w:p w14:paraId="1CA7A35C">
      <w:pPr>
        <w:pStyle w:val="145"/>
      </w:pPr>
      <w:r>
        <w:rPr>
          <w:rFonts w:cs="Times New Roman"/>
        </w:rPr>
        <w:drawing>
          <wp:inline distT="0" distB="0" distL="0" distR="0">
            <wp:extent cx="3542665" cy="2251075"/>
            <wp:effectExtent l="0" t="0" r="635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3432" cy="2258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2D22B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管道检测机器人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395EE951">
      <w:pPr>
        <w:pStyle w:val="145"/>
        <w:rPr>
          <w:lang w:eastAsia="zh-CN"/>
        </w:rPr>
      </w:pPr>
    </w:p>
    <w:p w14:paraId="4D38E3C6"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据调研团队最新报告“全球管道检测机器人市场报告2024-2030”显示，预计2030年全球管道检测机器人市场规模将达到18.9亿美元，未来几年年复合增长率CAGR为15.0%。</w:t>
      </w:r>
    </w:p>
    <w:p w14:paraId="3F6C2722">
      <w:pPr>
        <w:pStyle w:val="148"/>
        <w:rPr>
          <w:lang w:eastAsia="zh-CN"/>
        </w:rPr>
      </w:pPr>
      <w:r>
        <w:rPr>
          <w:lang w:eastAsia="zh-CN"/>
        </w:rPr>
        <w:t>管道检测机器人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drawing>
          <wp:inline distT="0" distB="0" distL="0" distR="0">
            <wp:extent cx="6188710" cy="2954655"/>
            <wp:effectExtent l="0" t="0" r="2540" b="0"/>
            <wp:docPr id="7815989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管道检测机器人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管道检测机器人</w:t>
      </w:r>
      <w:r>
        <w:rPr>
          <w:rFonts w:hint="eastAsia"/>
          <w:lang w:eastAsia="zh-CN"/>
        </w:rPr>
        <w:t>市场前20强生产商排名及市场占有率（基于2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3771900" cy="5991225"/>
            <wp:effectExtent l="0" t="0" r="0" b="0"/>
            <wp:docPr id="59388991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管道检测机器人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679A3E3B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全球范围内管道检测机器人生产商主要包括IBAK Helmut Hunger、IPEK International GmbH、CUES Inc、Waygate Technologies Robotics (WTR)、Minicam、RedZone Robotics、Eddyfi Technologies、中仪股份、Envirosight LLC、特瑞升科技等。2023年，全球前十强厂商占有大约48.0%的市场份额。</w:t>
      </w:r>
    </w:p>
    <w:p w14:paraId="29E7A780">
      <w:pPr>
        <w:pStyle w:val="145"/>
        <w:rPr>
          <w:lang w:eastAsia="zh-CN"/>
        </w:rPr>
      </w:pPr>
    </w:p>
    <w:p w14:paraId="3B2E5865">
      <w:pPr>
        <w:pStyle w:val="145"/>
        <w:rPr>
          <w:lang w:eastAsia="zh-CN"/>
        </w:rPr>
      </w:pPr>
    </w:p>
    <w:p w14:paraId="3E6DE9A8">
      <w:pPr>
        <w:pStyle w:val="148"/>
        <w:rPr>
          <w:lang w:eastAsia="zh-CN"/>
        </w:rPr>
      </w:pPr>
      <w:r>
        <w:rPr>
          <w:lang w:eastAsia="zh-CN"/>
        </w:rPr>
        <w:t>管道检测机器人</w:t>
      </w:r>
      <w:r>
        <w:rPr>
          <w:rFonts w:hint="eastAsia"/>
          <w:lang w:eastAsia="zh-CN"/>
        </w:rPr>
        <w:t>，全球市场规模，按产品类型细分</w:t>
      </w:r>
    </w:p>
    <w:p w14:paraId="1DAC1641"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201681008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DDE815E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管道检测机器人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41C3AE68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就产品类型而言，目前Wheel Type是最主要的细分产品，占据大约57.7%的份额。</w:t>
      </w:r>
    </w:p>
    <w:p w14:paraId="0B069045">
      <w:pPr>
        <w:pStyle w:val="148"/>
        <w:rPr>
          <w:lang w:eastAsia="zh-CN"/>
        </w:rPr>
      </w:pPr>
      <w:r>
        <w:rPr>
          <w:lang w:eastAsia="zh-CN"/>
        </w:rPr>
        <w:t>管道检测机器人</w:t>
      </w:r>
      <w:r>
        <w:rPr>
          <w:rFonts w:hint="eastAsia"/>
          <w:lang w:eastAsia="zh-CN"/>
        </w:rPr>
        <w:t>，全球市场规模，按应用细分</w:t>
      </w:r>
    </w:p>
    <w:p w14:paraId="1F9213C6">
      <w:pPr>
        <w:widowControl/>
        <w:topLinePunct w:val="0"/>
        <w:spacing w:after="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88710" cy="2922270"/>
            <wp:effectExtent l="0" t="0" r="2540" b="0"/>
            <wp:docPr id="10114659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08CA65EC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管道检测机器人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4B5D90DE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就产品应用而言，目前Water Industry是最主要的需求来源，占据大约47.0%的份额。</w:t>
      </w:r>
    </w:p>
    <w:p w14:paraId="0CD10F4E"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管道检测机器人</w:t>
      </w:r>
      <w:r>
        <w:rPr>
          <w:rFonts w:hint="eastAsia"/>
          <w:lang w:eastAsia="zh-CN"/>
        </w:rPr>
        <w:t>规模</w:t>
      </w:r>
    </w:p>
    <w:p w14:paraId="4B44D8E9"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209997160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265C5B20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管道检测机器人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4020B357">
      <w:pPr>
        <w:pStyle w:val="145"/>
        <w:rPr>
          <w:lang w:eastAsia="zh-CN"/>
        </w:rPr>
      </w:pPr>
    </w:p>
    <w:p w14:paraId="418CECD8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tbl>
      <w:tblPr>
        <w:tblStyle w:val="205"/>
        <w:tblW w:w="5000" w:type="pct"/>
        <w:tblInd w:w="0" w:type="dxa"/>
        <w:tblBorders>
          <w:top w:val="single" w:color="666666" w:sz="2" w:space="0"/>
          <w:left w:val="none" w:color="auto" w:sz="0" w:space="0"/>
          <w:bottom w:val="single" w:color="666666" w:sz="2" w:space="0"/>
          <w:right w:val="none" w:color="auto" w:sz="0" w:space="0"/>
          <w:insideH w:val="single" w:color="666666" w:sz="2" w:space="0"/>
          <w:insideV w:val="single" w:color="666666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8"/>
        <w:gridCol w:w="7704"/>
      </w:tblGrid>
      <w:tr w14:paraId="745B3D00">
        <w:tblPrEx>
          <w:tblBorders>
            <w:top w:val="single" w:color="666666" w:sz="2" w:space="0"/>
            <w:left w:val="none" w:color="auto" w:sz="0" w:space="0"/>
            <w:bottom w:val="single" w:color="666666" w:sz="2" w:space="0"/>
            <w:right w:val="none" w:color="auto" w:sz="0" w:space="0"/>
            <w:insideH w:val="single" w:color="666666" w:sz="2" w:space="0"/>
            <w:insideV w:val="single" w:color="666666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pct"/>
            <w:tcBorders>
              <w:top w:val="nil"/>
              <w:bottom w:val="single" w:color="666666" w:sz="12" w:space="0"/>
              <w:right w:val="nil"/>
              <w:insideH w:val="single" w:sz="12" w:space="0"/>
              <w:insideV w:val="nil"/>
            </w:tcBorders>
            <w:shd w:val="clear" w:color="auto" w:fill="FFFFFF"/>
            <w:vAlign w:val="top"/>
          </w:tcPr>
          <w:p w14:paraId="34E19711">
            <w:pPr>
              <w:spacing w:after="0" w:line="312" w:lineRule="auto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</w:rPr>
              <w:t>需求的持续增长</w:t>
            </w:r>
          </w:p>
        </w:tc>
        <w:tc>
          <w:tcPr>
            <w:tcW w:w="3689" w:type="pct"/>
            <w:tcBorders>
              <w:top w:val="nil"/>
              <w:bottom w:val="single" w:color="666666" w:sz="12" w:space="0"/>
              <w:insideH w:val="single" w:sz="12" w:space="0"/>
              <w:insideV w:val="nil"/>
            </w:tcBorders>
            <w:shd w:val="clear" w:color="auto" w:fill="FFFFFF"/>
            <w:vAlign w:val="center"/>
          </w:tcPr>
          <w:p w14:paraId="4D6D4775">
            <w:pPr>
              <w:spacing w:after="0" w:line="312" w:lineRule="auto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</w:rPr>
              <w:t>预计未来城市硬件设施将会得有较大升级，而管道工程方面的产品线也将会有较多突破，预计未来对于管道检测机器人的需求会增加。</w:t>
            </w:r>
          </w:p>
        </w:tc>
      </w:tr>
      <w:tr w14:paraId="083A38A5">
        <w:tblPrEx>
          <w:tblBorders>
            <w:top w:val="single" w:color="666666" w:sz="2" w:space="0"/>
            <w:left w:val="none" w:color="auto" w:sz="0" w:space="0"/>
            <w:bottom w:val="single" w:color="666666" w:sz="2" w:space="0"/>
            <w:right w:val="none" w:color="auto" w:sz="0" w:space="0"/>
            <w:insideH w:val="single" w:color="666666" w:sz="2" w:space="0"/>
            <w:insideV w:val="single" w:color="666666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pct"/>
            <w:shd w:val="clear" w:color="auto" w:fill="CCCCCC"/>
            <w:vAlign w:val="top"/>
          </w:tcPr>
          <w:p w14:paraId="6B401F9C">
            <w:pPr>
              <w:spacing w:after="0" w:line="312" w:lineRule="auto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</w:rPr>
              <w:t>技术创新</w:t>
            </w:r>
          </w:p>
        </w:tc>
        <w:tc>
          <w:tcPr>
            <w:tcW w:w="3689" w:type="pct"/>
            <w:shd w:val="clear" w:color="auto" w:fill="CCCCCC"/>
            <w:vAlign w:val="center"/>
          </w:tcPr>
          <w:p w14:paraId="16099232">
            <w:pPr>
              <w:spacing w:after="0" w:line="312" w:lineRule="auto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预计未来管道检测机器人将在定位功能、可靠性、适应性、智能检测等方面有较大提升。</w:t>
            </w:r>
          </w:p>
        </w:tc>
      </w:tr>
      <w:tr w14:paraId="5227FDB1">
        <w:tblPrEx>
          <w:tblBorders>
            <w:top w:val="single" w:color="666666" w:sz="2" w:space="0"/>
            <w:left w:val="none" w:color="auto" w:sz="0" w:space="0"/>
            <w:bottom w:val="single" w:color="666666" w:sz="2" w:space="0"/>
            <w:right w:val="none" w:color="auto" w:sz="0" w:space="0"/>
            <w:insideH w:val="single" w:color="666666" w:sz="2" w:space="0"/>
            <w:insideV w:val="single" w:color="666666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pct"/>
            <w:vAlign w:val="top"/>
          </w:tcPr>
          <w:p w14:paraId="3C9BD96C">
            <w:pPr>
              <w:spacing w:after="0" w:line="312" w:lineRule="auto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</w:rPr>
              <w:t>应用场景多元化</w:t>
            </w:r>
          </w:p>
        </w:tc>
        <w:tc>
          <w:tcPr>
            <w:tcW w:w="3689" w:type="pct"/>
            <w:vAlign w:val="center"/>
          </w:tcPr>
          <w:p w14:paraId="41F0E903">
            <w:pPr>
              <w:spacing w:after="0" w:line="312" w:lineRule="auto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预计未来管道检测机器人将会在农业、油气行业、供水系统和核工业等领域有更多的应用。</w:t>
            </w:r>
          </w:p>
        </w:tc>
      </w:tr>
    </w:tbl>
    <w:p w14:paraId="04711324">
      <w:pPr>
        <w:pStyle w:val="145"/>
        <w:rPr>
          <w:lang w:val="en-US" w:eastAsia="zh-CN"/>
        </w:rPr>
      </w:pPr>
    </w:p>
    <w:p w14:paraId="6EB27156">
      <w:pPr>
        <w:widowControl/>
        <w:topLinePunct w:val="0"/>
        <w:spacing w:before="320" w:after="80" w:line="259" w:lineRule="auto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4EB2E342">
      <w:pPr>
        <w:keepNext/>
        <w:widowControl/>
        <w:pBdr>
          <w:bottom w:val="single" w:color="auto" w:sz="4" w:space="6"/>
        </w:pBdr>
        <w:topLinePunct w:val="0"/>
        <w:spacing w:after="120"/>
        <w:jc w:val="left"/>
        <w:rPr>
          <w:rFonts w:cs="Calibri"/>
          <w:b/>
          <w:color w:val="FF8200"/>
          <w:spacing w:val="-3"/>
          <w:kern w:val="0"/>
          <w:sz w:val="24"/>
          <w:szCs w:val="40"/>
        </w:rPr>
      </w:pPr>
      <w:r>
        <w:rPr>
          <w:rFonts w:cs="Calibri"/>
          <w:b/>
          <w:color w:val="FF8200"/>
          <w:spacing w:val="-3"/>
          <w:kern w:val="0"/>
          <w:sz w:val="24"/>
          <w:szCs w:val="40"/>
        </w:rPr>
        <w:t>QYResearch</w:t>
      </w:r>
      <w:r>
        <w:rPr>
          <w:rFonts w:hint="eastAsia" w:cs="Calibri"/>
          <w:b/>
          <w:color w:val="FF8200"/>
          <w:spacing w:val="-3"/>
          <w:kern w:val="0"/>
          <w:sz w:val="24"/>
          <w:szCs w:val="40"/>
        </w:rPr>
        <w:t>分析师简介</w:t>
      </w:r>
    </w:p>
    <w:p w14:paraId="3FC52DEC">
      <w:pPr>
        <w:widowControl/>
        <w:topLinePunct w:val="0"/>
        <w:spacing w:before="320" w:after="80" w:line="259" w:lineRule="auto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Chirs Ma-本文主要分析师</w:t>
      </w:r>
    </w:p>
    <w:p w14:paraId="0A7F9380">
      <w:pPr>
        <w:widowControl/>
        <w:topLinePunct w:val="0"/>
        <w:spacing w:before="320" w:after="80" w:line="259" w:lineRule="auto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Email: maciqiang@qyresearch.com</w:t>
      </w:r>
    </w:p>
    <w:p w14:paraId="07A95001">
      <w:pPr>
        <w:pStyle w:val="145"/>
        <w:rPr>
          <w:lang w:eastAsia="zh-CN"/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马先生，具有9年行业研究经验，专注于机械设备，医美健康，半导体设备等领域。部分深入研究课题包括半导体蚀刻设备，透明质酸基皮肤填充剂，工业软管，滑环，EMS and ODM等。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866964">
    <w:pPr>
      <w:pStyle w:val="21"/>
      <w:jc w:val="center"/>
    </w:pPr>
    <w:r>
      <w:t>QYResearch</w:t>
    </w:r>
    <w:r>
      <w:rPr>
        <w:rFonts w:hint="eastAsia"/>
        <w:lang w:val="en-US" w:eastAsia="zh-CN"/>
      </w:rPr>
      <w:t xml:space="preserve"> 报告出版商</w:t>
    </w:r>
    <w:r>
      <w:t xml:space="preserve"> | market@qyresearch.com  | </w:t>
    </w:r>
    <w:r>
      <w:fldChar w:fldCharType="begin"/>
    </w:r>
    <w:r>
      <w:instrText xml:space="preserve"> HYPERLINK "http://www.qyresearch.com.cn" </w:instrText>
    </w:r>
    <w:r>
      <w:fldChar w:fldCharType="separate"/>
    </w:r>
    <w:r>
      <w:rPr>
        <w:rStyle w:val="71"/>
      </w:rPr>
      <w:t>www.qyresearch.com.cn</w:t>
    </w:r>
    <w:r>
      <w:fldChar w:fldCharType="end"/>
    </w:r>
    <w:r>
      <w:rPr>
        <w:rFonts w:hint="eastAsia"/>
        <w:lang w:val="en-US" w:eastAsia="zh-CN"/>
      </w:rPr>
      <w:t xml:space="preserve"> </w:t>
    </w:r>
    <w:r>
      <w:t xml:space="preserve">| </w:t>
    </w:r>
    <w:r>
      <w:rPr>
        <w:rFonts w:hint="eastAsia"/>
      </w:rPr>
      <w:t>130</w:t>
    </w:r>
    <w:r>
      <w:rPr>
        <w:rFonts w:hint="eastAsia"/>
        <w:lang w:val="en-US" w:eastAsia="zh-CN"/>
      </w:rPr>
      <w:t xml:space="preserve"> </w:t>
    </w:r>
    <w:r>
      <w:rPr>
        <w:rFonts w:hint="eastAsia"/>
      </w:rPr>
      <w:t>4429</w:t>
    </w:r>
    <w:r>
      <w:rPr>
        <w:rFonts w:hint="eastAsia"/>
        <w:lang w:val="en-US" w:eastAsia="zh-CN"/>
      </w:rPr>
      <w:t xml:space="preserve"> </w:t>
    </w:r>
    <w:r>
      <w:rPr>
        <w:rFonts w:hint="eastAsia"/>
      </w:rPr>
      <w:t>5150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CF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DB0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2B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96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9A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0FD3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07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1D6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83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02B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5C7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4FC3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362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68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530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8CD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19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A17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22B"/>
    <w:rsid w:val="00E73700"/>
    <w:rsid w:val="00E73A84"/>
    <w:rsid w:val="00E74222"/>
    <w:rsid w:val="00E7474F"/>
    <w:rsid w:val="00E747E3"/>
    <w:rsid w:val="00E748DF"/>
    <w:rsid w:val="00E74C1F"/>
    <w:rsid w:val="00E74F5E"/>
    <w:rsid w:val="00E751A7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A6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FB1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05">
    <w:name w:val="网格表 21"/>
    <w:basedOn w:val="34"/>
    <w:qFormat/>
    <w:uiPriority w:val="47"/>
    <w:pPr>
      <w:jc w:val="right"/>
    </w:pPr>
    <w:tblPr>
      <w:tblBorders>
        <w:top w:val="single" w:color="666666" w:sz="2" w:space="0"/>
        <w:bottom w:val="single" w:color="666666" w:sz="2" w:space="0"/>
        <w:insideH w:val="single" w:color="666666" w:sz="2" w:space="0"/>
        <w:insideV w:val="single" w:color="666666" w:sz="2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top w:val="nil"/>
          <w:bottom w:val="single" w:color="666666" w:sz="12" w:space="0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cPr>
        <w:tcBorders>
          <w:top w:val="double" w:color="666666" w:sz="2" w:space="0"/>
          <w:bottom w:val="nil"/>
          <w:insideH w:val="nil"/>
          <w:insideV w:val="nil"/>
        </w:tcBorders>
        <w:shd w:val="clear" w:color="auto" w:fill="FFFFFF"/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/>
      </w:tcPr>
    </w:tblStylePr>
    <w:tblStylePr w:type="band1Horz">
      <w:tcPr>
        <w:shd w:val="clear" w:color="auto" w:fill="CCCCCC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chart" Target="charts/chart5.xml"/><Relationship Id="rId13" Type="http://schemas.openxmlformats.org/officeDocument/2006/relationships/chart" Target="charts/chart4.xml"/><Relationship Id="rId12" Type="http://schemas.openxmlformats.org/officeDocument/2006/relationships/chart" Target="charts/chart3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F:\286.&#30446;&#24405;&#12289;&#33410;&#36873;\&#35266;&#28857;&#25991;&#20214;\6.Pipeline%20Inspection%20Robot&#31649;&#36947;&#26816;&#27979;&#26426;&#22120;&#20154;\&#35266;&#28857;&#25968;&#25454;&#22270;&#34920;&#27169;&#26495;-&#27169;&#26495;%2020240426%20&#20026;&#20934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F:\286.&#30446;&#24405;&#12289;&#33410;&#36873;\&#35266;&#28857;&#25991;&#20214;\6.Pipeline%20Inspection%20Robot&#31649;&#36947;&#26816;&#27979;&#26426;&#22120;&#20154;\&#35266;&#28857;&#25968;&#25454;&#22270;&#34920;&#27169;&#26495;-&#27169;&#26495;%2020240426%20&#20026;&#20934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F:\286.&#30446;&#24405;&#12289;&#33410;&#36873;\&#35266;&#28857;&#25991;&#20214;\6.Pipeline%20Inspection%20Robot&#31649;&#36947;&#26816;&#27979;&#26426;&#22120;&#20154;\&#35266;&#28857;&#25968;&#25454;&#22270;&#34920;&#27169;&#26495;-&#27169;&#26495;%2020240426%20&#20026;&#20934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F:\286.&#30446;&#24405;&#12289;&#33410;&#36873;\&#35266;&#28857;&#25991;&#20214;\6.Pipeline%20Inspection%20Robot&#31649;&#36947;&#26816;&#27979;&#26426;&#22120;&#20154;\&#35266;&#28857;&#25968;&#25454;&#22270;&#34920;&#27169;&#26495;-&#27169;&#26495;%2020240426%20&#20026;&#20934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F:\286.&#30446;&#24405;&#12289;&#33410;&#36873;\&#35266;&#28857;&#25991;&#20214;\6.Pipeline%20Inspection%20Robot&#31649;&#36947;&#26816;&#27979;&#26426;&#22120;&#20154;\&#35266;&#28857;&#25968;&#25454;&#22270;&#34920;&#27169;&#26495;-&#27169;&#26495;%2020240426%20&#20026;&#2093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en-US"/>
              <a:t>Global Market Size ($ Mn)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333680629718612"/>
          <c:y val="0.131440849673203"/>
          <c:w val="0.937283950617284"/>
          <c:h val="0.79303039215686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全球总体!$S$6:$U$6</c:f>
              <c:numCache>
                <c:formatCode>General</c:formatCode>
                <c:ptCount val="3"/>
                <c:pt idx="0">
                  <c:v>2019</c:v>
                </c:pt>
                <c:pt idx="1">
                  <c:v>2024</c:v>
                </c:pt>
                <c:pt idx="2">
                  <c:v>2030</c:v>
                </c:pt>
              </c:numCache>
            </c:numRef>
          </c:cat>
          <c:val>
            <c:numRef>
              <c:f>全球总体!$S$7:$U$7</c:f>
              <c:numCache>
                <c:formatCode>#,##0_ </c:formatCode>
                <c:ptCount val="3"/>
                <c:pt idx="0">
                  <c:v>447.4</c:v>
                </c:pt>
                <c:pt idx="1">
                  <c:v>804.58</c:v>
                </c:pt>
                <c:pt idx="2">
                  <c:v>1885.63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sq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  <a:r>
              <a:rPr lang="zh-CN" sz="1100"/>
              <a:t>全球市场主要企业排名</a:t>
            </a:r>
            <a:endParaRPr lang="en-US" sz="1100"/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00206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企业收入!$H$2:$H$21</c:f>
              <c:strCache>
                <c:ptCount val="20"/>
                <c:pt idx="0">
                  <c:v>IBAK Helmut Hunger</c:v>
                </c:pt>
                <c:pt idx="1">
                  <c:v>IPEK International GmbH</c:v>
                </c:pt>
                <c:pt idx="2">
                  <c:v>CUES Inc</c:v>
                </c:pt>
                <c:pt idx="3">
                  <c:v>Waygate Technologies Robotics (WTR)</c:v>
                </c:pt>
                <c:pt idx="4">
                  <c:v>Minicam</c:v>
                </c:pt>
                <c:pt idx="5">
                  <c:v>RedZone Robotics</c:v>
                </c:pt>
                <c:pt idx="6">
                  <c:v>Eddyfi Technologies</c:v>
                </c:pt>
                <c:pt idx="7">
                  <c:v>中仪股份</c:v>
                </c:pt>
                <c:pt idx="8">
                  <c:v>Envirosight LLC</c:v>
                </c:pt>
                <c:pt idx="9">
                  <c:v>特瑞升科技</c:v>
                </c:pt>
                <c:pt idx="10">
                  <c:v>SuperDroid Robots</c:v>
                </c:pt>
                <c:pt idx="11">
                  <c:v>施罗德工业集团</c:v>
                </c:pt>
                <c:pt idx="12">
                  <c:v>博铭维智能科技</c:v>
                </c:pt>
                <c:pt idx="13">
                  <c:v>RIEZLER Inspektionssysteme</c:v>
                </c:pt>
                <c:pt idx="14">
                  <c:v>九泰科技</c:v>
                </c:pt>
                <c:pt idx="15">
                  <c:v>HiBot</c:v>
                </c:pt>
                <c:pt idx="16">
                  <c:v>Nexxis</c:v>
                </c:pt>
                <c:pt idx="17">
                  <c:v>Inspector Systems</c:v>
                </c:pt>
                <c:pt idx="18">
                  <c:v>Medit Inc</c:v>
                </c:pt>
                <c:pt idx="19">
                  <c:v>Honeybee Robotics</c:v>
                </c:pt>
              </c:strCache>
            </c:strRef>
          </c:cat>
          <c:val>
            <c:numRef>
              <c:f>企业收入!$I$2:$I$21</c:f>
              <c:numCache>
                <c:formatCode>0.0%</c:formatCode>
                <c:ptCount val="20"/>
                <c:pt idx="0">
                  <c:v>0.139027165410326</c:v>
                </c:pt>
                <c:pt idx="1">
                  <c:v>0.0938842269947376</c:v>
                </c:pt>
                <c:pt idx="2">
                  <c:v>0.0917081496230977</c:v>
                </c:pt>
                <c:pt idx="3">
                  <c:v>0.0487555113070687</c:v>
                </c:pt>
                <c:pt idx="4">
                  <c:v>0.0315317877968994</c:v>
                </c:pt>
                <c:pt idx="5">
                  <c:v>0.0237804010809273</c:v>
                </c:pt>
                <c:pt idx="6">
                  <c:v>0.0192006826909401</c:v>
                </c:pt>
                <c:pt idx="7">
                  <c:v>0.0170388280472195</c:v>
                </c:pt>
                <c:pt idx="8">
                  <c:v>0.0105105959322998</c:v>
                </c:pt>
                <c:pt idx="9">
                  <c:v>0.0103968141089461</c:v>
                </c:pt>
                <c:pt idx="10">
                  <c:v>0.00635755937988906</c:v>
                </c:pt>
                <c:pt idx="11">
                  <c:v>0.00539041388138245</c:v>
                </c:pt>
                <c:pt idx="12">
                  <c:v>0.0052481866021903</c:v>
                </c:pt>
                <c:pt idx="13">
                  <c:v>0.00459394111790641</c:v>
                </c:pt>
                <c:pt idx="14">
                  <c:v>0.00375480017067273</c:v>
                </c:pt>
                <c:pt idx="15">
                  <c:v>0.00339923197269236</c:v>
                </c:pt>
                <c:pt idx="16">
                  <c:v>0.00244630920210496</c:v>
                </c:pt>
                <c:pt idx="17">
                  <c:v>0.00201962736452852</c:v>
                </c:pt>
                <c:pt idx="18">
                  <c:v>0.00183473190157872</c:v>
                </c:pt>
                <c:pt idx="19">
                  <c:v>0.00126582278481013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  <a:ea typeface="宋体" panose="02010600030101010101" charset="-122"/>
        </a:defRPr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分类!$R$2</c:f>
              <c:strCache>
                <c:ptCount val="1"/>
                <c:pt idx="0">
                  <c:v>Wheel Type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分类!$S$2:$AD$2</c:f>
              <c:numCache>
                <c:formatCode>0.0%</c:formatCode>
                <c:ptCount val="12"/>
                <c:pt idx="0">
                  <c:v>0.580330800178811</c:v>
                </c:pt>
                <c:pt idx="1">
                  <c:v>0.582420238478891</c:v>
                </c:pt>
                <c:pt idx="2">
                  <c:v>0.578629652414642</c:v>
                </c:pt>
                <c:pt idx="3">
                  <c:v>0.576913730255164</c:v>
                </c:pt>
                <c:pt idx="4">
                  <c:v>0.577371639880529</c:v>
                </c:pt>
                <c:pt idx="5">
                  <c:v>0.581843943423898</c:v>
                </c:pt>
                <c:pt idx="6">
                  <c:v>0.583157962205296</c:v>
                </c:pt>
                <c:pt idx="7">
                  <c:v>0.588684278780244</c:v>
                </c:pt>
                <c:pt idx="8">
                  <c:v>0.592825032628136</c:v>
                </c:pt>
                <c:pt idx="9">
                  <c:v>0.592864037506895</c:v>
                </c:pt>
                <c:pt idx="10">
                  <c:v>0.595993756503642</c:v>
                </c:pt>
                <c:pt idx="11">
                  <c:v>0.598951013719553</c:v>
                </c:pt>
              </c:numCache>
            </c:numRef>
          </c:val>
        </c:ser>
        <c:ser>
          <c:idx val="1"/>
          <c:order val="1"/>
          <c:tx>
            <c:strRef>
              <c:f>分类!$R$3</c:f>
              <c:strCache>
                <c:ptCount val="1"/>
                <c:pt idx="0">
                  <c:v>Tracked Type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分类!$S$3:$AD$3</c:f>
              <c:numCache>
                <c:formatCode>0.0%</c:formatCode>
                <c:ptCount val="12"/>
                <c:pt idx="0">
                  <c:v>0.312181493071077</c:v>
                </c:pt>
                <c:pt idx="1">
                  <c:v>0.311613760876571</c:v>
                </c:pt>
                <c:pt idx="2">
                  <c:v>0.3133651184251</c:v>
                </c:pt>
                <c:pt idx="3">
                  <c:v>0.317537464560551</c:v>
                </c:pt>
                <c:pt idx="4">
                  <c:v>0.320125160005689</c:v>
                </c:pt>
                <c:pt idx="5">
                  <c:v>0.317768276616371</c:v>
                </c:pt>
                <c:pt idx="6">
                  <c:v>0.318894147055367</c:v>
                </c:pt>
                <c:pt idx="7">
                  <c:v>0.317249620215643</c:v>
                </c:pt>
                <c:pt idx="8">
                  <c:v>0.316428467847188</c:v>
                </c:pt>
                <c:pt idx="9">
                  <c:v>0.318132928847215</c:v>
                </c:pt>
                <c:pt idx="10">
                  <c:v>0.316857440166493</c:v>
                </c:pt>
                <c:pt idx="11">
                  <c:v>0.315517890572382</c:v>
                </c:pt>
              </c:numCache>
            </c:numRef>
          </c:val>
        </c:ser>
        <c:ser>
          <c:idx val="2"/>
          <c:order val="2"/>
          <c:tx>
            <c:strRef>
              <c:f>分类!$R$4</c:f>
              <c:strCache>
                <c:ptCount val="1"/>
                <c:pt idx="0">
                  <c:v>Others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分类!$S$4:$AD$4</c:f>
              <c:numCache>
                <c:formatCode>0.0%</c:formatCode>
                <c:ptCount val="12"/>
                <c:pt idx="0">
                  <c:v>0.107487706750112</c:v>
                </c:pt>
                <c:pt idx="1">
                  <c:v>0.105966000644538</c:v>
                </c:pt>
                <c:pt idx="2">
                  <c:v>0.108005229160258</c:v>
                </c:pt>
                <c:pt idx="3">
                  <c:v>0.105548805184285</c:v>
                </c:pt>
                <c:pt idx="4">
                  <c:v>0.102503200113782</c:v>
                </c:pt>
                <c:pt idx="5">
                  <c:v>0.100387779959731</c:v>
                </c:pt>
                <c:pt idx="6">
                  <c:v>0.0979478907393362</c:v>
                </c:pt>
                <c:pt idx="7">
                  <c:v>0.0940661010041128</c:v>
                </c:pt>
                <c:pt idx="8">
                  <c:v>0.0907464995246765</c:v>
                </c:pt>
                <c:pt idx="9">
                  <c:v>0.0890030336458908</c:v>
                </c:pt>
                <c:pt idx="10">
                  <c:v>0.0871488033298647</c:v>
                </c:pt>
                <c:pt idx="11">
                  <c:v>0.0855310957080657</c:v>
                </c:pt>
              </c:numCache>
            </c:numRef>
          </c:val>
        </c:ser>
        <c:ser>
          <c:idx val="3"/>
          <c:order val="3"/>
          <c:tx>
            <c:strRef>
              <c:f>分类!$R$5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分类!$S$5:$AD$5</c:f>
            </c:numRef>
          </c:val>
        </c:ser>
        <c:ser>
          <c:idx val="4"/>
          <c:order val="4"/>
          <c:tx>
            <c:strRef>
              <c:f>分类!$R$6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分类!$S$6:$AD$6</c:f>
            </c:numRef>
          </c:val>
        </c:ser>
        <c:ser>
          <c:idx val="5"/>
          <c:order val="5"/>
          <c:tx>
            <c:strRef>
              <c:f>分类!$R$7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分类!$S$7:$AD$7</c:f>
            </c:numRef>
          </c:val>
        </c:ser>
        <c:ser>
          <c:idx val="6"/>
          <c:order val="6"/>
          <c:tx>
            <c:strRef>
              <c:f>分类!$R$8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分类!$S$8:$AD$8</c:f>
            </c:numRef>
          </c:val>
        </c:ser>
        <c:ser>
          <c:idx val="7"/>
          <c:order val="7"/>
          <c:tx>
            <c:strRef>
              <c:f>分类!$R$9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分类!$S$9:$AD$9</c:f>
            </c:numRef>
          </c:val>
        </c:ser>
        <c:ser>
          <c:idx val="8"/>
          <c:order val="8"/>
          <c:tx>
            <c:strRef>
              <c:f>分类!$R$10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分类!$S$10:$AD$10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Water Industry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应用!$B$2:$M$2</c:f>
              <c:numCache>
                <c:formatCode>#,##0.00_);[Red]\(#,##0.00\)</c:formatCode>
                <c:ptCount val="12"/>
                <c:pt idx="0">
                  <c:v>204.7</c:v>
                </c:pt>
                <c:pt idx="1">
                  <c:v>229.29</c:v>
                </c:pt>
                <c:pt idx="2">
                  <c:v>241.74</c:v>
                </c:pt>
                <c:pt idx="3">
                  <c:v>289.58</c:v>
                </c:pt>
                <c:pt idx="4">
                  <c:v>330.43</c:v>
                </c:pt>
                <c:pt idx="5">
                  <c:v>378.62</c:v>
                </c:pt>
                <c:pt idx="6">
                  <c:v>441.53</c:v>
                </c:pt>
                <c:pt idx="7">
                  <c:v>512.56</c:v>
                </c:pt>
                <c:pt idx="8">
                  <c:v>594.83</c:v>
                </c:pt>
                <c:pt idx="9">
                  <c:v>699.49</c:v>
                </c:pt>
                <c:pt idx="10">
                  <c:v>808.51</c:v>
                </c:pt>
                <c:pt idx="11">
                  <c:v>932.07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Oil and Gas Industry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应用!$B$3:$M$3</c:f>
              <c:numCache>
                <c:formatCode>#,##0.00_);[Red]\(#,##0.00\)</c:formatCode>
                <c:ptCount val="12"/>
                <c:pt idx="0">
                  <c:v>187.08</c:v>
                </c:pt>
                <c:pt idx="1">
                  <c:v>207.43</c:v>
                </c:pt>
                <c:pt idx="2">
                  <c:v>216.88</c:v>
                </c:pt>
                <c:pt idx="3">
                  <c:v>257.53</c:v>
                </c:pt>
                <c:pt idx="4">
                  <c:v>296.16</c:v>
                </c:pt>
                <c:pt idx="5">
                  <c:v>342.1</c:v>
                </c:pt>
                <c:pt idx="6">
                  <c:v>398.59</c:v>
                </c:pt>
                <c:pt idx="7">
                  <c:v>459.74</c:v>
                </c:pt>
                <c:pt idx="8">
                  <c:v>527.49</c:v>
                </c:pt>
                <c:pt idx="9">
                  <c:v>616.91</c:v>
                </c:pt>
                <c:pt idx="10">
                  <c:v>697.27</c:v>
                </c:pt>
                <c:pt idx="11">
                  <c:v>790.2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Others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应用!$B$4:$M$4</c:f>
              <c:numCache>
                <c:formatCode>#,##0.00_);[Red]\(#,##0.00\)</c:formatCode>
                <c:ptCount val="12"/>
                <c:pt idx="0">
                  <c:v>55.62</c:v>
                </c:pt>
                <c:pt idx="1">
                  <c:v>59.76</c:v>
                </c:pt>
                <c:pt idx="2">
                  <c:v>61.54</c:v>
                </c:pt>
                <c:pt idx="3">
                  <c:v>70.14</c:v>
                </c:pt>
                <c:pt idx="4">
                  <c:v>76.51</c:v>
                </c:pt>
                <c:pt idx="5">
                  <c:v>83.86</c:v>
                </c:pt>
                <c:pt idx="6">
                  <c:v>95.99</c:v>
                </c:pt>
                <c:pt idx="7">
                  <c:v>107.26</c:v>
                </c:pt>
                <c:pt idx="8">
                  <c:v>118.94</c:v>
                </c:pt>
                <c:pt idx="9">
                  <c:v>134</c:v>
                </c:pt>
                <c:pt idx="10">
                  <c:v>147.14</c:v>
                </c:pt>
                <c:pt idx="11">
                  <c:v>163.36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应用!$B$5:$M$5</c:f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应用!$B$11:$M$11</c:f>
              <c:numCache>
                <c:formatCode>#,##0.00_);[Red]\(#,##0.00\)</c:formatCode>
                <c:ptCount val="12"/>
                <c:pt idx="0">
                  <c:v>447.4</c:v>
                </c:pt>
                <c:pt idx="1">
                  <c:v>496.48</c:v>
                </c:pt>
                <c:pt idx="2">
                  <c:v>520.16</c:v>
                </c:pt>
                <c:pt idx="3">
                  <c:v>617.25</c:v>
                </c:pt>
                <c:pt idx="4">
                  <c:v>703.1</c:v>
                </c:pt>
                <c:pt idx="5">
                  <c:v>804.58</c:v>
                </c:pt>
                <c:pt idx="6">
                  <c:v>936.11</c:v>
                </c:pt>
                <c:pt idx="7">
                  <c:v>1079.56</c:v>
                </c:pt>
                <c:pt idx="8">
                  <c:v>1241.26</c:v>
                </c:pt>
                <c:pt idx="9">
                  <c:v>1450.4</c:v>
                </c:pt>
                <c:pt idx="10">
                  <c:v>1652.92</c:v>
                </c:pt>
                <c:pt idx="11">
                  <c:v>1885.63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Asia Pacific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137.31</c:v>
                </c:pt>
                <c:pt idx="1">
                  <c:v>153.41</c:v>
                </c:pt>
                <c:pt idx="2">
                  <c:v>162.52</c:v>
                </c:pt>
                <c:pt idx="3">
                  <c:v>194.84</c:v>
                </c:pt>
                <c:pt idx="4">
                  <c:v>223.62</c:v>
                </c:pt>
                <c:pt idx="5">
                  <c:v>260.54</c:v>
                </c:pt>
                <c:pt idx="6">
                  <c:v>305.99</c:v>
                </c:pt>
                <c:pt idx="7">
                  <c:v>355.71</c:v>
                </c:pt>
                <c:pt idx="8">
                  <c:v>416.48</c:v>
                </c:pt>
                <c:pt idx="9">
                  <c:v>493.77</c:v>
                </c:pt>
                <c:pt idx="10">
                  <c:v>573.81</c:v>
                </c:pt>
                <c:pt idx="11">
                  <c:v>661.65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152.59</c:v>
                </c:pt>
                <c:pt idx="1">
                  <c:v>169.32</c:v>
                </c:pt>
                <c:pt idx="2">
                  <c:v>176.83</c:v>
                </c:pt>
                <c:pt idx="3">
                  <c:v>209.39</c:v>
                </c:pt>
                <c:pt idx="4">
                  <c:v>238.03</c:v>
                </c:pt>
                <c:pt idx="5">
                  <c:v>268.18</c:v>
                </c:pt>
                <c:pt idx="6">
                  <c:v>309.76</c:v>
                </c:pt>
                <c:pt idx="7">
                  <c:v>355.53</c:v>
                </c:pt>
                <c:pt idx="8">
                  <c:v>405.18</c:v>
                </c:pt>
                <c:pt idx="9">
                  <c:v>471.52</c:v>
                </c:pt>
                <c:pt idx="10">
                  <c:v>532.93</c:v>
                </c:pt>
                <c:pt idx="11">
                  <c:v>602.88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129.56</c:v>
                </c:pt>
                <c:pt idx="1">
                  <c:v>143.78</c:v>
                </c:pt>
                <c:pt idx="2">
                  <c:v>150.17</c:v>
                </c:pt>
                <c:pt idx="3">
                  <c:v>178.15</c:v>
                </c:pt>
                <c:pt idx="4">
                  <c:v>203.5</c:v>
                </c:pt>
                <c:pt idx="5">
                  <c:v>234.46</c:v>
                </c:pt>
                <c:pt idx="6">
                  <c:v>274.7</c:v>
                </c:pt>
                <c:pt idx="7">
                  <c:v>319.14</c:v>
                </c:pt>
                <c:pt idx="8">
                  <c:v>365.71</c:v>
                </c:pt>
                <c:pt idx="9">
                  <c:v>425.1</c:v>
                </c:pt>
                <c:pt idx="10">
                  <c:v>480.98</c:v>
                </c:pt>
                <c:pt idx="11">
                  <c:v>550.05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South America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11.54</c:v>
                </c:pt>
                <c:pt idx="1">
                  <c:v>12.44</c:v>
                </c:pt>
                <c:pt idx="2">
                  <c:v>12.64</c:v>
                </c:pt>
                <c:pt idx="3">
                  <c:v>14.33</c:v>
                </c:pt>
                <c:pt idx="4">
                  <c:v>15.58</c:v>
                </c:pt>
                <c:pt idx="5">
                  <c:v>17.07</c:v>
                </c:pt>
                <c:pt idx="6">
                  <c:v>18.7</c:v>
                </c:pt>
                <c:pt idx="7">
                  <c:v>20.23</c:v>
                </c:pt>
                <c:pt idx="8">
                  <c:v>22.09</c:v>
                </c:pt>
                <c:pt idx="9">
                  <c:v>24.53</c:v>
                </c:pt>
                <c:pt idx="10">
                  <c:v>26.7</c:v>
                </c:pt>
                <c:pt idx="11">
                  <c:v>28.93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>Middle East and Africa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'地区-消费'!$B$6:$M$6</c:f>
              <c:numCache>
                <c:formatCode>#,##0_);[Red]\(#,##0\)</c:formatCode>
                <c:ptCount val="12"/>
                <c:pt idx="0">
                  <c:v>16.4</c:v>
                </c:pt>
                <c:pt idx="1">
                  <c:v>17.53</c:v>
                </c:pt>
                <c:pt idx="2">
                  <c:v>18</c:v>
                </c:pt>
                <c:pt idx="3">
                  <c:v>20.54</c:v>
                </c:pt>
                <c:pt idx="4">
                  <c:v>22.37</c:v>
                </c:pt>
                <c:pt idx="5">
                  <c:v>24.33</c:v>
                </c:pt>
                <c:pt idx="6">
                  <c:v>26.96</c:v>
                </c:pt>
                <c:pt idx="7">
                  <c:v>28.95</c:v>
                </c:pt>
                <c:pt idx="8">
                  <c:v>31.8</c:v>
                </c:pt>
                <c:pt idx="9">
                  <c:v>35.48</c:v>
                </c:pt>
                <c:pt idx="10">
                  <c:v>38.5</c:v>
                </c:pt>
                <c:pt idx="11">
                  <c:v>42.12</c:v>
                </c:pt>
              </c:numCache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'地区-消费'!$B$7:$M$7</c:f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'地区-消费'!$B$8:$M$8</c:f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0.60793</cdr:x>
      <cdr:y>0.27494</cdr:y>
    </cdr:from>
    <cdr:to>
      <cdr:x>0.7304</cdr:x>
      <cdr:y>0.38082</cdr:y>
    </cdr:to>
    <cdr:sp>
      <cdr:nvSpPr>
        <cdr:cNvPr id="2" name="椭圆 1"/>
        <cdr:cNvSpPr/>
      </cdr:nvSpPr>
      <cdr:spPr xmlns:a="http://schemas.openxmlformats.org/drawingml/2006/main">
        <a:xfrm xmlns:a="http://schemas.openxmlformats.org/drawingml/2006/main" rot="21480000">
          <a:off x="3895614" y="841307"/>
          <a:ext cx="784800" cy="324000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80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  <cdr:relSizeAnchor xmlns:cdr="http://schemas.openxmlformats.org/drawingml/2006/chartDrawing">
    <cdr:from>
      <cdr:x>0.27574</cdr:x>
      <cdr:y>0.47252</cdr:y>
    </cdr:from>
    <cdr:to>
      <cdr:x>0.39821</cdr:x>
      <cdr:y>0.57891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1480000">
          <a:off x="1766911" y="1445911"/>
          <a:ext cx="784824" cy="325542"/>
        </a:xfrm>
        <a:prstGeom xmlns:a="http://schemas.openxmlformats.org/drawingml/2006/main" prst="ellipse">
          <a:avLst/>
        </a:prstGeom>
        <a:solidFill>
          <a:srgbClr val="FFC000"/>
        </a:solidFill>
        <a:ln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90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1524</Words>
  <Characters>1946</Characters>
  <Lines>14</Lines>
  <Paragraphs>4</Paragraphs>
  <TotalTime>0</TotalTime>
  <ScaleCrop>false</ScaleCrop>
  <LinksUpToDate>false</LinksUpToDate>
  <CharactersWithSpaces>1963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</cp:lastModifiedBy>
  <dcterms:modified xsi:type="dcterms:W3CDTF">2024-09-09T09:51:22Z</dcterms:modified>
  <cp:revision>882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78C19472C79243ECB372462CC041FC26_13</vt:lpwstr>
  </property>
</Properties>
</file>