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13" w:name="_GoBack"/>
      <w:bookmarkEnd w:id="13"/>
      <w:bookmarkStart w:id="0" w:name="_Toc453597319"/>
      <w:bookmarkStart w:id="1" w:name="_Toc438987549"/>
      <w:bookmarkStart w:id="2" w:name="_Toc517262917"/>
      <w:bookmarkStart w:id="3" w:name="_Toc415818939"/>
      <w:bookmarkStart w:id="4" w:name="OLE_LINK15"/>
      <w:bookmarkStart w:id="5" w:name="_Toc481801204"/>
      <w:bookmarkStart w:id="6" w:name="_Toc418070112"/>
      <w:bookmarkStart w:id="7" w:name="_Toc415142861"/>
      <w:bookmarkStart w:id="8" w:name="OLE_LINK39"/>
      <w:bookmarkStart w:id="9" w:name="OLE_LINK40"/>
      <w:bookmarkStart w:id="10" w:name="OLE_LINK24"/>
      <w:bookmarkStart w:id="11" w:name="OLE_LINK13"/>
      <w:bookmarkStart w:id="12" w:name="_Toc415143481"/>
      <w:r>
        <w:rPr>
          <w:lang w:eastAsia="zh-CN"/>
        </w:rPr>
        <w:t>DDAF膜</w:t>
      </w:r>
      <w:r>
        <w:rPr>
          <w:rFonts w:hint="eastAsia"/>
          <w:lang w:eastAsia="zh-CN"/>
        </w:rPr>
        <w:t>全球市场总体规模</w:t>
      </w:r>
    </w:p>
    <w:p>
      <w:pPr>
        <w:pStyle w:val="145"/>
        <w:rPr>
          <w:lang w:eastAsia="zh-CN"/>
        </w:rPr>
      </w:pPr>
      <w:r>
        <w:rPr>
          <w:rFonts w:hint="eastAsia"/>
          <w:lang w:eastAsia="zh-CN"/>
        </w:rPr>
        <w:t>据调研团队最新报告“全球DDAF膜市场报告2024-2030”显示，预计2030年全球DDAF膜市场规模将达到4.5亿美元，未来几年年复合增长率CAGR为7.0%。</w:t>
      </w:r>
    </w:p>
    <w:p>
      <w:pPr>
        <w:pStyle w:val="148"/>
        <w:rPr>
          <w:lang w:eastAsia="zh-CN"/>
        </w:rPr>
      </w:pPr>
      <w:r>
        <w:rPr>
          <w:lang w:eastAsia="zh-CN"/>
        </w:rPr>
        <w:t>DDAF膜</w:t>
      </w:r>
      <w:r>
        <w:rPr>
          <w:rFonts w:hint="eastAsia"/>
          <w:lang w:eastAsia="zh-CN"/>
        </w:rPr>
        <w:t>，全球市场总体规模</w:t>
      </w:r>
    </w:p>
    <w:p>
      <w:pPr>
        <w:pStyle w:val="145"/>
      </w:pPr>
      <w:r>
        <w:drawing>
          <wp:inline distT="0" distB="0" distL="0" distR="0">
            <wp:extent cx="6188710" cy="3005455"/>
            <wp:effectExtent l="0" t="0" r="2540" b="444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143"/>
      </w:pPr>
      <w:r>
        <w:rPr>
          <w:rFonts w:hint="eastAsia"/>
          <w:lang w:eastAsia="zh-CN"/>
        </w:rPr>
        <w:t>如上图表/数据，摘自QYResearch最新报告“</w:t>
      </w:r>
      <w:r>
        <w:rPr>
          <w:rFonts w:hint="eastAsia"/>
        </w:rPr>
        <w:t>全球</w:t>
      </w:r>
      <w:r>
        <w:t>DDAF膜</w:t>
      </w:r>
      <w:r>
        <w:rPr>
          <w:rFonts w:hint="eastAsia"/>
        </w:rPr>
        <w:t>市场研究报告2024-2030</w:t>
      </w:r>
      <w:r>
        <w:rPr>
          <w:rFonts w:hint="eastAsia"/>
          <w:lang w:eastAsia="zh-CN"/>
        </w:rPr>
        <w:t>”</w:t>
      </w:r>
      <w:r>
        <w:t>.</w:t>
      </w:r>
    </w:p>
    <w:p>
      <w:pPr>
        <w:pStyle w:val="145"/>
        <w:rPr>
          <w:lang w:eastAsia="zh-CN"/>
        </w:rPr>
      </w:pPr>
    </w:p>
    <w:p>
      <w:pPr>
        <w:pStyle w:val="148"/>
        <w:rPr>
          <w:lang w:eastAsia="zh-CN"/>
        </w:rPr>
      </w:pPr>
      <w:r>
        <w:rPr>
          <w:rFonts w:hint="eastAsia"/>
          <w:lang w:eastAsia="zh-CN"/>
        </w:rPr>
        <w:t>全球</w:t>
      </w:r>
      <w:r>
        <w:rPr>
          <w:lang w:eastAsia="zh-CN"/>
        </w:rPr>
        <w:t>DDAF膜</w:t>
      </w:r>
      <w:r>
        <w:rPr>
          <w:rFonts w:hint="eastAsia"/>
          <w:lang w:eastAsia="zh-CN"/>
        </w:rPr>
        <w:t>市场前</w:t>
      </w:r>
      <w:r>
        <w:rPr>
          <w:lang w:eastAsia="zh-CN"/>
        </w:rPr>
        <w:t>5</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3771900" cy="5991225"/>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如上图表/数据，摘自QYResearch报告“全球</w:t>
      </w:r>
      <w:r>
        <w:rPr>
          <w:lang w:eastAsia="zh-CN"/>
        </w:rPr>
        <w:t>DDAF膜</w:t>
      </w:r>
      <w:r>
        <w:rPr>
          <w:rFonts w:hint="eastAsia"/>
          <w:lang w:eastAsia="zh-CN"/>
        </w:rPr>
        <w:t>市场研究报告2024-2030”，排名基于2023数据。目前最新数据，以本公司最新调研数据为准。</w:t>
      </w:r>
    </w:p>
    <w:p>
      <w:pPr>
        <w:pStyle w:val="145"/>
        <w:rPr>
          <w:lang w:eastAsia="zh-CN"/>
        </w:rPr>
      </w:pPr>
      <w:r>
        <w:rPr>
          <w:rFonts w:hint="eastAsia"/>
          <w:lang w:eastAsia="zh-CN"/>
        </w:rPr>
        <w:t>全球范围内DDAF膜生产商主要包括Hitachi Chemical、Henkel Adhesives、Nitto、LINTEC Corporation等。2023年，全球前三大厂商占有大约85.0%的市场份额。</w:t>
      </w:r>
    </w:p>
    <w:p>
      <w:pPr>
        <w:pStyle w:val="145"/>
        <w:rPr>
          <w:rFonts w:hint="eastAsia"/>
          <w:lang w:eastAsia="zh-CN"/>
        </w:rPr>
      </w:pPr>
      <w:r>
        <w:rPr>
          <w:rFonts w:hint="eastAsia"/>
          <w:lang w:eastAsia="zh-CN"/>
        </w:rPr>
        <w:t>全球切割芯片贴膜 (DDAF) 市场对于半导体制造至关重要，但面临着多项驱动因素和挑战：</w:t>
      </w:r>
    </w:p>
    <w:p>
      <w:pPr>
        <w:pStyle w:val="145"/>
        <w:rPr>
          <w:lang w:eastAsia="zh-CN"/>
        </w:rPr>
      </w:pPr>
    </w:p>
    <w:p>
      <w:pPr>
        <w:pStyle w:val="145"/>
        <w:rPr>
          <w:rFonts w:hint="eastAsia"/>
          <w:b/>
          <w:bCs/>
          <w:lang w:eastAsia="zh-CN"/>
        </w:rPr>
      </w:pPr>
      <w:r>
        <w:rPr>
          <w:rFonts w:hint="eastAsia"/>
          <w:b/>
          <w:bCs/>
          <w:lang w:eastAsia="zh-CN"/>
        </w:rPr>
        <w:t>驱动因素：</w:t>
      </w:r>
    </w:p>
    <w:p>
      <w:pPr>
        <w:pStyle w:val="145"/>
        <w:rPr>
          <w:rFonts w:hint="eastAsia"/>
          <w:lang w:eastAsia="zh-CN"/>
        </w:rPr>
      </w:pPr>
      <w:r>
        <w:rPr>
          <w:rFonts w:hint="eastAsia"/>
          <w:lang w:eastAsia="zh-CN"/>
        </w:rPr>
        <w:t>半导体需求不断增长：电子、汽车、电信和医疗保健等各个行业对半导体的需求不断增长，是 DDAF 市场的主要驱动力。 半导体是电子设备的重要组成部分，随着物联网、5G、人工智能和自动驾驶汽车等技术的不断发展，对先进半导体芯片的需求不断增长，从而推动了对 DDAF 的需求。</w:t>
      </w:r>
    </w:p>
    <w:p>
      <w:pPr>
        <w:pStyle w:val="145"/>
        <w:rPr>
          <w:rFonts w:hint="eastAsia"/>
          <w:lang w:eastAsia="zh-CN"/>
        </w:rPr>
      </w:pPr>
      <w:r>
        <w:rPr>
          <w:rFonts w:hint="eastAsia"/>
          <w:lang w:eastAsia="zh-CN"/>
        </w:rPr>
        <w:t>电子产品的小型化和集成化：电子元件的小型化和集成化趋势持续存在，导致对更小、更密集封装的半导体芯片的需求。 DDAF 能够将半导体芯片精确切割并附着到基板上，从而促进紧凑型高性能电子设备的制造。</w:t>
      </w:r>
    </w:p>
    <w:p>
      <w:pPr>
        <w:pStyle w:val="145"/>
        <w:rPr>
          <w:rFonts w:hint="eastAsia"/>
          <w:lang w:eastAsia="zh-CN"/>
        </w:rPr>
      </w:pPr>
      <w:r>
        <w:rPr>
          <w:rFonts w:hint="eastAsia"/>
          <w:lang w:eastAsia="zh-CN"/>
        </w:rPr>
        <w:t>半导体制造技术进步：先进封装技术和晶圆级封装等半导体制造工艺的技术进步推动了对 DDAF 等专用材料的需求。 DDAF 配方不断发展以满足先进半导体封装技术的要求，包括更薄的薄膜、更高的导热性和改进的粘合性能。</w:t>
      </w:r>
    </w:p>
    <w:p>
      <w:pPr>
        <w:pStyle w:val="145"/>
        <w:rPr>
          <w:rFonts w:hint="eastAsia"/>
          <w:lang w:eastAsia="zh-CN"/>
        </w:rPr>
      </w:pPr>
      <w:r>
        <w:rPr>
          <w:rFonts w:hint="eastAsia"/>
          <w:lang w:eastAsia="zh-CN"/>
        </w:rPr>
        <w:t>越来越多地采用晶圆级封装 (WLP)：晶圆级封装（半导体芯片在切割前在晶圆级进行封装）由于其成本效益、改进的性能和小型化能力而越来越受欢迎。 DDAF 在晶圆级封装工艺中发挥着至关重要的作用，在处理和加工过程中为半导体芯片提供临时粘合和保护。</w:t>
      </w:r>
    </w:p>
    <w:p>
      <w:pPr>
        <w:pStyle w:val="145"/>
        <w:rPr>
          <w:rFonts w:hint="eastAsia"/>
          <w:lang w:eastAsia="zh-CN"/>
        </w:rPr>
      </w:pPr>
    </w:p>
    <w:p>
      <w:pPr>
        <w:pStyle w:val="145"/>
        <w:rPr>
          <w:rFonts w:hint="eastAsia"/>
          <w:b/>
          <w:bCs/>
          <w:lang w:eastAsia="zh-CN"/>
        </w:rPr>
      </w:pPr>
      <w:r>
        <w:rPr>
          <w:rFonts w:hint="eastAsia"/>
          <w:b/>
          <w:bCs/>
          <w:lang w:eastAsia="zh-CN"/>
        </w:rPr>
        <w:t>挑战：</w:t>
      </w:r>
    </w:p>
    <w:p>
      <w:pPr>
        <w:pStyle w:val="145"/>
        <w:rPr>
          <w:rFonts w:hint="eastAsia"/>
          <w:lang w:eastAsia="zh-CN"/>
        </w:rPr>
      </w:pPr>
      <w:r>
        <w:rPr>
          <w:rFonts w:hint="eastAsia"/>
          <w:lang w:eastAsia="zh-CN"/>
        </w:rPr>
        <w:t>与先进半导体材料的兼容性：随着半导体技术的进步，氮化镓（GaN）、碳化硅（SiC）等新材料和异质集成对DDAF兼容性提出了挑战。 DDAF 配方需要进行优化，以确保与这些材料的兼容性，同时保持高粘合强度和可靠性。</w:t>
      </w:r>
    </w:p>
    <w:p>
      <w:pPr>
        <w:pStyle w:val="145"/>
        <w:rPr>
          <w:rFonts w:hint="eastAsia"/>
          <w:lang w:eastAsia="zh-CN"/>
        </w:rPr>
      </w:pPr>
      <w:r>
        <w:rPr>
          <w:rFonts w:hint="eastAsia"/>
          <w:lang w:eastAsia="zh-CN"/>
        </w:rPr>
        <w:t>热管理和可靠性：随着半导体器件功率密度和工作温度的不断提高，热管理对于确保器件可靠性变得至关重要。 DDAF材料需要表现出高导热性和稳定性，以有效散热并最大限度地减少半导体芯片在运行过程中的热应力。</w:t>
      </w:r>
    </w:p>
    <w:p>
      <w:pPr>
        <w:pStyle w:val="145"/>
        <w:rPr>
          <w:rFonts w:hint="eastAsia"/>
          <w:lang w:eastAsia="zh-CN"/>
        </w:rPr>
      </w:pPr>
      <w:r>
        <w:rPr>
          <w:rFonts w:hint="eastAsia"/>
          <w:lang w:eastAsia="zh-CN"/>
        </w:rPr>
        <w:t>成本和良率优化：成本和良率优化是半导体制造中的重大挑战。 DDAF 会增加总体制造成本，优化 DDAF 的使用同时最大限度地减少材料浪费和缺陷对于提高制造效率和盈利能力至关重要。</w:t>
      </w:r>
    </w:p>
    <w:p>
      <w:pPr>
        <w:pStyle w:val="145"/>
        <w:rPr>
          <w:lang w:eastAsia="zh-CN"/>
        </w:rPr>
      </w:pPr>
      <w:r>
        <w:rPr>
          <w:rFonts w:hint="eastAsia"/>
          <w:lang w:eastAsia="zh-CN"/>
        </w:rPr>
        <w:t>环境和法规合规性：与半导体制造中使用的其他材料一样，DDAF 配方必须符合环境法规和安全标准。 制造商需要确保 DDAF 材料不含有害物质，并符合 RoHS（有害物质限制）和 REACH（化学品注册、评估、授权和限制）等法规。</w:t>
      </w:r>
    </w:p>
    <w:bookmarkEnd w:id="0"/>
    <w:bookmarkEnd w:id="1"/>
    <w:bookmarkEnd w:id="2"/>
    <w:bookmarkEnd w:id="3"/>
    <w:bookmarkEnd w:id="4"/>
    <w:bookmarkEnd w:id="5"/>
    <w:bookmarkEnd w:id="6"/>
    <w:bookmarkEnd w:id="7"/>
    <w:bookmarkEnd w:id="8"/>
    <w:bookmarkEnd w:id="9"/>
    <w:bookmarkEnd w:id="10"/>
    <w:bookmarkEnd w:id="11"/>
    <w:bookmarkEnd w:id="12"/>
    <w:p>
      <w:pPr>
        <w:pStyle w:val="145"/>
        <w:rPr>
          <w:lang w:eastAsia="zh-CN"/>
        </w:rPr>
      </w:pPr>
    </w:p>
    <w:sectPr>
      <w:headerReference r:id="rId5" w:type="first"/>
      <w:footerReference r:id="rId6" w:type="default"/>
      <w:headerReference r:id="rId4"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color w:val="0070C0"/>
      </w:rPr>
    </w:pPr>
    <w:r>
      <w:rPr>
        <w:rFonts w:hint="eastAsia" w:ascii="仿宋" w:hAnsi="仿宋" w:eastAsia="仿宋" w:cs="仿宋"/>
        <w:b/>
        <w:bCs/>
        <w:color w:val="0070C0"/>
        <w:sz w:val="30"/>
        <w:szCs w:val="30"/>
      </w:rPr>
      <w:t>QYResearch报告出版商</w:t>
    </w:r>
  </w:p>
  <w:p>
    <w:pPr>
      <w:pStyle w:val="2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603"/>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40"/>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738"/>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78"/>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07F"/>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01"/>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0F4"/>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0FF"/>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49F"/>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6B"/>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013"/>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0B1"/>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4D10"/>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4FD8"/>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E81"/>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6EC6"/>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44E"/>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843"/>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AF5"/>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0E9"/>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A6C"/>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428"/>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561"/>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3E668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autoRedefine/>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autoRedefine/>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autoRedefine/>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25490;&#21517;&#25991;&#20214;\202405\DDAF&#33180;\&#35266;&#28857;&#25968;&#25454;&#22270;&#34920;&#27169;&#26495;-&#27169;&#26495;%2020240407.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25490;&#21517;&#25991;&#20214;\202405\DDAF&#33180;\&#35266;&#28857;&#25968;&#25454;&#22270;&#34920;&#27169;&#26495;-&#27169;&#26495;%202024040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101820801093785"/>
          <c:y val="0.0743906508300871"/>
          <c:w val="0.845512387307458"/>
          <c:h val="0.794607567572072"/>
        </c:manualLayout>
      </c:layout>
      <c:barChart>
        <c:barDir val="col"/>
        <c:grouping val="clustered"/>
        <c:varyColors val="0"/>
        <c:ser>
          <c:idx val="0"/>
          <c:order val="0"/>
          <c:tx>
            <c:strRef>
              <c:f>全球总体!$A$12</c:f>
              <c:strCache>
                <c:ptCount val="1"/>
                <c:pt idx="0">
                  <c:v>全球规模（百万美元</c:v>
                </c:pt>
              </c:strCache>
            </c:strRef>
          </c:tx>
          <c:spPr>
            <a:solidFill>
              <a:srgbClr val="002060"/>
            </a:solidFill>
            <a:effectLst>
              <a:outerShdw blurRad="40000" dist="20000" dir="5400000" rotWithShape="0">
                <a:schemeClr val="tx2">
                  <a:lumMod val="60000"/>
                  <a:lumOff val="40000"/>
                  <a:alpha val="38000"/>
                </a:schemeClr>
              </a:outerShdw>
            </a:effectLst>
          </c:spPr>
          <c:invertIfNegative val="0"/>
          <c:dLbls>
            <c:delete val="1"/>
          </c:dLbls>
          <c:cat>
            <c:numRef>
              <c:f>全球总体!$B$7:$M$7</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全球总体!$B$12:$M$12</c:f>
              <c:numCache>
                <c:formatCode>#,##0_ </c:formatCode>
                <c:ptCount val="12"/>
                <c:pt idx="0">
                  <c:v>232.5219</c:v>
                </c:pt>
                <c:pt idx="1">
                  <c:v>245.5774</c:v>
                </c:pt>
                <c:pt idx="2">
                  <c:v>254.3341</c:v>
                </c:pt>
                <c:pt idx="3">
                  <c:v>265.4528</c:v>
                </c:pt>
                <c:pt idx="4">
                  <c:v>281.2528</c:v>
                </c:pt>
                <c:pt idx="5">
                  <c:v>300.7088</c:v>
                </c:pt>
                <c:pt idx="6">
                  <c:v>322.08</c:v>
                </c:pt>
                <c:pt idx="7">
                  <c:v>344.84</c:v>
                </c:pt>
                <c:pt idx="8">
                  <c:v>369.87</c:v>
                </c:pt>
                <c:pt idx="9">
                  <c:v>393.8</c:v>
                </c:pt>
                <c:pt idx="10">
                  <c:v>422.28</c:v>
                </c:pt>
                <c:pt idx="11">
                  <c:v>452.38</c:v>
                </c:pt>
              </c:numCache>
            </c:numRef>
          </c:val>
        </c:ser>
        <c:dLbls>
          <c:showLegendKey val="0"/>
          <c:showVal val="0"/>
          <c:showCatName val="0"/>
          <c:showSerName val="0"/>
          <c:showPercent val="0"/>
          <c:showBubbleSize val="0"/>
        </c:dLbls>
        <c:gapWidth val="25"/>
        <c:axId val="-1322419456"/>
        <c:axId val="-1322431424"/>
      </c:barChart>
      <c:lineChart>
        <c:grouping val="stacked"/>
        <c:varyColors val="0"/>
        <c:ser>
          <c:idx val="1"/>
          <c:order val="1"/>
          <c:tx>
            <c:strRef>
              <c:f>全球总体!$A$13</c:f>
              <c:strCache>
                <c:ptCount val="1"/>
                <c:pt idx="0">
                  <c:v>增速</c:v>
                </c:pt>
              </c:strCache>
            </c:strRef>
          </c:tx>
          <c:spPr>
            <a:ln w="25400" cap="rnd" cmpd="sng" algn="ctr">
              <a:solidFill>
                <a:srgbClr val="FFC000"/>
              </a:solidFill>
              <a:prstDash val="solid"/>
              <a:round/>
            </a:ln>
          </c:spPr>
          <c:marker>
            <c:symbol val="circle"/>
            <c:size val="32"/>
            <c:spPr>
              <a:solidFill>
                <a:schemeClr val="bg1">
                  <a:lumMod val="50000"/>
                </a:schemeClr>
              </a:solidFill>
              <a:ln w="6350" cap="flat" cmpd="sng" algn="ctr">
                <a:solidFill>
                  <a:schemeClr val="bg1"/>
                </a:solidFill>
                <a:prstDash val="solid"/>
                <a:round/>
              </a:ln>
            </c:spPr>
          </c:marker>
          <c:dLbls>
            <c:numFmt formatCode="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bg1">
                        <a:lumMod val="95000"/>
                      </a:schemeClr>
                    </a:solidFill>
                    <a:latin typeface="Times New Roman" panose="02020603050405020304" charset="0"/>
                    <a:ea typeface="宋体" panose="02010600030101010101" charset="-122"/>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全球总体!$B$7:$M$7</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全球总体!$B$13:$M$13</c:f>
              <c:numCache>
                <c:formatCode>0.0%</c:formatCode>
                <c:ptCount val="12"/>
                <c:pt idx="0">
                  <c:v>0.0608357073032689</c:v>
                </c:pt>
                <c:pt idx="1">
                  <c:v>0.0561473994492561</c:v>
                </c:pt>
                <c:pt idx="2">
                  <c:v>0.0356575971567421</c:v>
                </c:pt>
                <c:pt idx="3">
                  <c:v>0.0437169062268881</c:v>
                </c:pt>
                <c:pt idx="4">
                  <c:v>0.059520939315765</c:v>
                </c:pt>
                <c:pt idx="5">
                  <c:v>0.0691762002013847</c:v>
                </c:pt>
                <c:pt idx="6">
                  <c:v>0.0710694199837185</c:v>
                </c:pt>
                <c:pt idx="7">
                  <c:v>0.0706656731246891</c:v>
                </c:pt>
                <c:pt idx="8">
                  <c:v>0.0725843869620695</c:v>
                </c:pt>
                <c:pt idx="9">
                  <c:v>0.0646984075485981</c:v>
                </c:pt>
                <c:pt idx="10">
                  <c:v>0.0723209751142713</c:v>
                </c:pt>
                <c:pt idx="11">
                  <c:v>0.0712797196173156</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宋体" panose="02010600030101010101" charset="-122"/>
                <a:cs typeface="+mn-cs"/>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0_ " sourceLinked="1"/>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宋体" panose="02010600030101010101" charset="-122"/>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宋体" panose="02010600030101010101" charset="-122"/>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宋体" panose="02010600030101010101" charset="-122"/>
                <a:cs typeface="+mn-cs"/>
              </a:defRPr>
            </a:pPr>
          </a:p>
        </c:txPr>
        <c:crossAx val="-1322429792"/>
        <c:crosses val="max"/>
        <c:crossBetween val="between"/>
      </c:valAx>
      <c:spPr>
        <a:ln>
          <a:noFill/>
        </a:ln>
      </c:spPr>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宋体" panose="02010600030101010101" charset="-122"/>
              <a:cs typeface="+mn-cs"/>
            </a:defRPr>
          </a:pPr>
        </a:p>
      </c:txPr>
    </c:legend>
    <c:plotVisOnly val="1"/>
    <c:dispBlanksAs val="gap"/>
    <c:showDLblsOverMax val="0"/>
  </c:chart>
  <c:spPr>
    <a:ln w="6350" cap="flat" cmpd="sng" algn="ctr">
      <a:noFill/>
      <a:prstDash val="solid"/>
      <a:round/>
    </a:ln>
  </c:spPr>
  <c:txPr>
    <a:bodyPr/>
    <a:lstStyle/>
    <a:p>
      <a:pPr>
        <a:defRPr lang="zh-CN" baseline="0">
          <a:latin typeface="Times New Roman" panose="02020603050405020304" charset="0"/>
          <a:ea typeface="宋体" panose="02010600030101010101" charset="-122"/>
        </a:defRPr>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2023</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Lbls>
            <c:delete val="1"/>
          </c:dLbls>
          <c:cat>
            <c:strRef>
              <c:f>企业收入!$H$2:$H$21</c:f>
              <c:strCache>
                <c:ptCount val="7"/>
                <c:pt idx="0">
                  <c:v>Hitachi Chemical</c:v>
                </c:pt>
                <c:pt idx="1">
                  <c:v>Henkel Adhesives</c:v>
                </c:pt>
                <c:pt idx="2">
                  <c:v>Nitto</c:v>
                </c:pt>
                <c:pt idx="3">
                  <c:v>LINTEC Corporation</c:v>
                </c:pt>
                <c:pt idx="4">
                  <c:v>Furukawa</c:v>
                </c:pt>
                <c:pt idx="5">
                  <c:v>LG</c:v>
                </c:pt>
                <c:pt idx="6">
                  <c:v>AI Technology</c:v>
                </c:pt>
              </c:strCache>
            </c:strRef>
          </c:cat>
          <c:val>
            <c:numRef>
              <c:f>企业收入!$I$2:$I$21</c:f>
              <c:numCache>
                <c:formatCode>0.0%</c:formatCode>
                <c:ptCount val="7"/>
                <c:pt idx="0">
                  <c:v>0.385519361940574</c:v>
                </c:pt>
                <c:pt idx="1">
                  <c:v>0.201550349009859</c:v>
                </c:pt>
                <c:pt idx="2">
                  <c:v>0.18014860652054</c:v>
                </c:pt>
                <c:pt idx="3">
                  <c:v>0.0813698565845389</c:v>
                </c:pt>
                <c:pt idx="4">
                  <c:v>0.0769325674268843</c:v>
                </c:pt>
                <c:pt idx="5">
                  <c:v>0.0341319268643726</c:v>
                </c:pt>
                <c:pt idx="6">
                  <c:v>0.0156257999920356</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9DE409-9F9F-4F11-97A1-89E1C31377E7}">
  <ds:schemaRefs/>
</ds:datastoreItem>
</file>

<file path=docProps/app.xml><?xml version="1.0" encoding="utf-8"?>
<Properties xmlns="http://schemas.openxmlformats.org/officeDocument/2006/extended-properties" xmlns:vt="http://schemas.openxmlformats.org/officeDocument/2006/docPropsVTypes">
  <Template>Normal.dotm</Template>
  <Pages>3</Pages>
  <Words>306</Words>
  <Characters>1746</Characters>
  <Lines>14</Lines>
  <Paragraphs>4</Paragraphs>
  <TotalTime>0</TotalTime>
  <ScaleCrop>false</ScaleCrop>
  <LinksUpToDate>false</LinksUpToDate>
  <CharactersWithSpaces>2048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2024-05-14T09:15:19Z</dcterms:modified>
  <cp:revision>828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AD58EDF8529347439AF12518612DD1FC_13</vt:lpwstr>
  </property>
</Properties>
</file>