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PFGFLS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6.6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ANPPGO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ANPPGO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PFGFLS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ANPPGO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ANPPGO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Eugenol</w:t>
      </w:r>
    </w:p>
    <w:p>
      <w:pPr>
        <w:spacing w:before="309" w:after="0" w:line="236" w:lineRule="exact"/>
        <w:ind w:left="0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ANPPGO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HY-N0337</w:t>
      </w:r>
    </w:p>
    <w:p>
      <w:pPr>
        <w:spacing w:before="109" w:after="0" w:line="236" w:lineRule="exact"/>
        <w:ind w:left="0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ANPPGO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97-53-0</w:t>
      </w:r>
    </w:p>
    <w:p>
      <w:pPr>
        <w:spacing w:before="107" w:after="0" w:line="238" w:lineRule="exact"/>
        <w:ind w:left="0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RSCTCQ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PFGFLS+SegoeUI" w:eastAsiaTheme="minorEastAsia" w:cs="PFGFLS+SegoeUI"/>
          <w:color w:val="3E3A39"/>
          <w:sz w:val="17"/>
          <w:szCs w:val="22"/>
          <w:lang w:val="en-US" w:eastAsia="en-US" w:bidi="ar-SA"/>
        </w:rPr>
        <w:t>C₁₀H₁₂O₂</w:t>
      </w:r>
    </w:p>
    <w:p>
      <w:pPr>
        <w:spacing w:before="105" w:after="0" w:line="238" w:lineRule="exact"/>
        <w:ind w:left="0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RSCTCQ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164.2</w:t>
      </w:r>
    </w:p>
    <w:p>
      <w:pPr>
        <w:spacing w:before="105" w:after="0" w:line="238" w:lineRule="exact"/>
        <w:ind w:left="0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RSCTCQ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Bacterial;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Parasite;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Reactive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Oxygen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Species;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Apoptosis;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Ferroptosis</w:t>
      </w:r>
    </w:p>
    <w:p>
      <w:pPr>
        <w:spacing w:before="107" w:after="0" w:line="236" w:lineRule="exact"/>
        <w:ind w:left="0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RSCTCQ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Anti-infection;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Immunology/Inflammation;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Metabolic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Enzyme/Protease;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PFGFLS+SegoeUI" w:eastAsiaTheme="minorEastAsia" w:cs="PFGFLS+SegoeUI"/>
          <w:color w:val="3E3A39"/>
          <w:sz w:val="17"/>
          <w:szCs w:val="22"/>
          <w:lang w:val="en-US" w:eastAsia="en-US" w:bidi="ar-SA"/>
        </w:rPr>
        <w:t>NF-κB;</w:t>
      </w:r>
    </w:p>
    <w:p>
      <w:pPr>
        <w:spacing w:before="35" w:after="0" w:line="236" w:lineRule="exact"/>
        <w:ind w:left="1796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</w:p>
    <w:p>
      <w:pPr>
        <w:spacing w:before="109" w:after="0" w:line="236" w:lineRule="exact"/>
        <w:ind w:left="0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RSCTCQ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Pure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</w:t>
      </w:r>
      <w:r>
        <w:rPr>
          <w:rFonts w:ascii="PFGFLS+SegoeUI" w:hAnsi="Calibri" w:eastAsiaTheme="minorEastAsia" w:cstheme="minorBidi"/>
          <w:color w:val="3E3A39"/>
          <w:spacing w:val="323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PFGFLS+SegoeUI" w:eastAsiaTheme="minorEastAsia" w:cs="PFGFLS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PFGFLS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68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FGFLS+SegoeUI" w:hAnsi="PFGFLS+SegoeUI" w:eastAsiaTheme="minorEastAsia" w:cs="PFGFLS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PFGFLS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PFGFLS+SegoeUI" w:hAnsi="Calibri" w:eastAsiaTheme="minorEastAsia" w:cstheme="minorBidi"/>
          <w:color w:val="3E3A39"/>
          <w:spacing w:val="342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PFGFLS+SegoeUI" w:eastAsiaTheme="minorEastAsia" w:cs="PFGFLS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PFGFLS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09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FGFLS+SegoeUI" w:hAnsi="PFGFLS+SegoeUI" w:eastAsiaTheme="minorEastAsia" w:cs="PFGFLS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PFGFLS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RSCTCQ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RSCTCQ+AdobeHeitiStd-Regular-Identity-H" w:hAnsi="RSCTCQ+AdobeHeitiStd-Regular-Identity-H" w:eastAsiaTheme="minorEastAsia" w:cs="RSCTCQ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RSCTCQ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ANPPGO+SegoeUI-SemiBold" w:eastAsiaTheme="minorEastAsia" w:cs="ANPPGO+SegoeUI-SemiBold"/>
          <w:b/>
          <w:color w:val="3E3A39"/>
          <w:sz w:val="17"/>
          <w:szCs w:val="22"/>
          <w:lang w:val="en-US" w:eastAsia="en-US" w:bidi="ar-SA"/>
        </w:rPr>
        <w:t>≥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100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609.01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256" w:line="236" w:lineRule="exact"/>
        <w:ind w:left="1996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FGFLS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PFGFL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PFGFLS+SegoeUI" w:eastAsiaTheme="minorEastAsia" w:cs="PFGFLS+SegoeUI"/>
          <w:color w:val="808285"/>
          <w:sz w:val="17"/>
          <w:szCs w:val="22"/>
          <w:lang w:val="en-US" w:eastAsia="en-US" w:bidi="ar-SA"/>
        </w:rPr>
        <w:t>"≥"</w:t>
      </w:r>
      <w:r>
        <w:rPr>
          <w:rFonts w:ascii="PFGFL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means</w:t>
      </w:r>
      <w:r>
        <w:rPr>
          <w:rFonts w:ascii="PFGFL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soluble,</w:t>
      </w:r>
      <w:r>
        <w:rPr>
          <w:rFonts w:ascii="PFGFL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7"/>
          <w:szCs w:val="22"/>
          <w:lang w:val="en-US" w:eastAsia="en-US" w:bidi="ar-SA"/>
        </w:rPr>
        <w:t>but</w:t>
      </w:r>
      <w:r>
        <w:rPr>
          <w:rFonts w:ascii="PFGFL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7"/>
          <w:szCs w:val="22"/>
          <w:lang w:val="en-US" w:eastAsia="en-US" w:bidi="ar-SA"/>
        </w:rPr>
        <w:t>saturation</w:t>
      </w:r>
      <w:r>
        <w:rPr>
          <w:rFonts w:ascii="PFGFL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7"/>
          <w:szCs w:val="22"/>
          <w:lang w:val="en-US" w:eastAsia="en-US" w:bidi="ar-SA"/>
        </w:rPr>
        <w:t>unknown.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GFLS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ANPPGO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NPPGO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ANPPGO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NPPGO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ANPPGO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ANPPGO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NPPGO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RSCTCQ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SCTCQ+AdobeHeitiStd-Regular-Identity-H" w:hAnsi="RSCTCQ+AdobeHeitiStd-Regular-Identity-H" w:eastAsiaTheme="minorEastAsia" w:cs="RSCTCQ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SCTCQ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PFGFLS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GFLS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6.0901</w:t>
            </w:r>
            <w:r>
              <w:rPr>
                <w:rFonts w:ascii="PFGFLS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GFLS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PFGFLS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GFLS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30.4507</w:t>
            </w:r>
            <w:r>
              <w:rPr>
                <w:rFonts w:ascii="PFGFLS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GFLS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PFGFLS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GFLS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60.9013</w:t>
            </w:r>
            <w:r>
              <w:rPr>
                <w:rFonts w:ascii="PFGFLS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GFLS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ANPPGO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1.2180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PFGFLS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6.0901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PFGFLS+SegoeUI" w:hAnsi="Calibri" w:eastAsiaTheme="minorEastAsia" w:cstheme="minorBidi"/>
          <w:color w:val="3E3A39"/>
          <w:spacing w:val="923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12.1803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ANPPGO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0.6090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PFGFLS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3.0451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PFGFLS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6.0901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RSCTCQ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RSCTCQ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PFGFLS+SegoeUI" w:hAnsi="PFGFLS+SegoeUI" w:eastAsiaTheme="minorEastAsia" w:cs="PFGFLS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PFGFLS+SegoeUI" w:eastAsiaTheme="minorEastAsia" w:cs="PFGFLS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PFGFLS+SegoeUI" w:hAnsi="PFGFLS+SegoeUI" w:eastAsiaTheme="minorEastAsia" w:cs="PFGFLS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PFGFLS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RSCTC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PFGFLS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PFGFLS+SegoeUI" w:hAnsi="PFGFLS+SegoeUI" w:eastAsiaTheme="minorEastAsia" w:cs="PFGFLS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PFGFLS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6" w:right="0" w:firstLine="0"/>
        <w:jc w:val="left"/>
        <w:rPr>
          <w:rFonts w:ascii="RSCTCQ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RSCTC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PFGFLS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SCTCQ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RSCTCQ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SCTCQ+AdobeHeitiStd-Regular-Identity-H" w:hAnsi="RSCTCQ+AdobeHeitiStd-Regular-Identity-H" w:eastAsiaTheme="minorEastAsia" w:cs="RSCTCQ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SCTCQ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RSCTCQ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SCTCQ+AdobeHeitiStd-Regular-Identity-H" w:hAnsi="RSCTCQ+AdobeHeitiStd-Regular-Identity-H" w:eastAsiaTheme="minorEastAsia" w:cs="RSCTCQ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RSCTCQ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ANPPGO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CTCQ+AdobeHeitiStd-Regular-Identity-H" w:hAnsi="RSCTCQ+AdobeHeitiStd-Regular-Identity-H" w:eastAsiaTheme="minorEastAsia" w:cs="RSCTCQ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RSCTCQ+AdobeHeitiStd-Regular-Identity-H" w:hAnsi="RSCTCQ+AdobeHeitiStd-Regular-Identity-H" w:eastAsiaTheme="minorEastAsia" w:cs="RSCTCQ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RSCTCQ+AdobeHeitiStd-Regular-Identity-H" w:hAnsi="RSCTCQ+AdobeHeitiStd-Regular-Identity-H" w:eastAsiaTheme="minorEastAsia" w:cs="RSCTCQ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6" w:after="0" w:line="212" w:lineRule="exact"/>
              <w:ind w:left="0" w:right="0" w:firstLine="0"/>
              <w:jc w:val="left"/>
              <w:rPr>
                <w:rFonts w:ascii="RSCTCQ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SCTCQ+AdobeHeitiStd-Regular-Identity-H" w:hAnsi="RSCTCQ+AdobeHeitiStd-Regular-Identity-H" w:eastAsiaTheme="minorEastAsia" w:cs="RSCTCQ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RSCTCQ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SCTCQ+AdobeHeitiStd-Regular-Identity-H" w:hAnsi="RSCTCQ+AdobeHeitiStd-Regular-Identity-H" w:eastAsiaTheme="minorEastAsia" w:cs="RSCTCQ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RSCTCQ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CTCQ+AdobeHeitiStd-Regular-Identity-H" w:hAnsi="RSCTCQ+AdobeHeitiStd-Regular-Identity-H" w:eastAsiaTheme="minorEastAsia" w:cs="RSCTCQ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RSCTCQ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SCTCQ+AdobeHeitiStd-Regular-Identity-H" w:hAnsi="RSCTCQ+AdobeHeitiStd-Regular-Identity-H" w:eastAsiaTheme="minorEastAsia" w:cs="RSCTCQ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RSCTCQ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CTCQ+AdobeHeitiStd-Regular-Identity-H" w:hAnsi="RSCTCQ+AdobeHeitiStd-Regular-Identity-H" w:eastAsiaTheme="minorEastAsia" w:cs="RSCTCQ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RSCTCQ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CTCQ+AdobeHeitiStd-Regular-Identity-H" w:hAnsi="RSCTCQ+AdobeHeitiStd-Regular-Identity-H" w:eastAsiaTheme="minorEastAsia" w:cs="RSCTCQ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RSCTCQ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SCTCQ+AdobeHeitiStd-Regular-Identity-H" w:hAnsi="RSCTCQ+AdobeHeitiStd-Regular-Identity-H" w:eastAsiaTheme="minorEastAsia" w:cs="RSCTCQ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ANPPGO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RSCTCQ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ANPPGO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ANPPGO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ANPPGO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PFGFLS+SegoeUI" w:eastAsiaTheme="minorEastAsia" w:cs="PFGFLS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3.25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(19.79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RSCTCQ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RSCTCQ+AdobeHeitiStd-Regular-Identity-H" w:hAnsi="RSCTCQ+AdobeHeitiStd-Regular-Identity-H" w:eastAsiaTheme="minorEastAsia" w:cs="RSCTCQ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RSCTCQ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PFGFLS+SegoeUI" w:eastAsiaTheme="minorEastAsia" w:cs="PFGFLS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3.25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(19.79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RSCTCQ+AdobeHeitiStd-Regular-Identity-H" w:hAnsi="RSCTCQ+AdobeHeitiStd-Regular-Identity-H" w:eastAsiaTheme="minorEastAsia" w:cs="RSCTCQ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PFGFL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RSCTCQ+AdobeHeitiStd-Regular-Identity-H" w:hAnsi="RSCTCQ+AdobeHeitiStd-Regular-Identity-H" w:eastAsiaTheme="minorEastAsia" w:cs="RSCTCQ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RSCTCQ+AdobeHeitiStd-Regular-Identity-H" w:hAnsi="RSCTCQ+AdobeHeitiStd-Regular-Identity-H" w:eastAsiaTheme="minorEastAsia" w:cs="RSCTCQ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RSCTCQ+AdobeHeitiStd-Regular-Identity-H" w:hAnsi="RSCTCQ+AdobeHeitiStd-Regular-Identity-H" w:eastAsiaTheme="minorEastAsia" w:cs="RSCTCQ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1" w:lineRule="exact"/>
        <w:ind w:left="2166" w:right="0" w:firstLine="0"/>
        <w:jc w:val="left"/>
        <w:rPr>
          <w:rFonts w:ascii="RSCTCQ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RSCTCQ+AdobeHeitiStd-Regular-Identity-H" w:hAnsi="RSCTCQ+AdobeHeitiStd-Regular-Identity-H" w:eastAsiaTheme="minorEastAsia" w:cs="RSCTCQ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RSCTCQ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PFGFL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RSCTCQ+AdobeHeitiStd-Regular-Identity-H" w:hAnsi="RSCTCQ+AdobeHeitiStd-Regular-Identity-H" w:eastAsiaTheme="minorEastAsia" w:cs="RSCTCQ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RSCTCQ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PFGFLS+SegoeUI" w:eastAsiaTheme="minorEastAsia" w:cs="PFGFLS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32.5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PFGFL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RSCTCQ+AdobeHeitiStd-Regular-Identity-H" w:hAnsi="RSCTCQ+AdobeHeitiStd-Regular-Identity-H" w:eastAsiaTheme="minorEastAsia" w:cs="RSCTCQ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RSCTCQ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PFGFL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RSCTCQ+AdobeHeitiStd-Regular-Identity-H" w:hAnsi="RSCTCQ+AdobeHeitiStd-Regular-Identity-H" w:eastAsiaTheme="minorEastAsia" w:cs="RSCTCQ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RSCTCQ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PFGFLS+SegoeUI" w:eastAsiaTheme="minorEastAsia" w:cs="PFGFLS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PFGFL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RSCTCQ+AdobeHeitiStd-Regular-Identity-H" w:hAnsi="RSCTCQ+AdobeHeitiStd-Regular-Identity-H" w:eastAsiaTheme="minorEastAsia" w:cs="RSCTCQ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RSCTCQ+AdobeHeitiStd-Regular-Identity-H" w:hAnsi="RSCTCQ+AdobeHeitiStd-Regular-Identity-H" w:eastAsiaTheme="minorEastAsia" w:cs="RSCTCQ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PFGFLS+SegoeUI" w:eastAsiaTheme="minorEastAsia" w:cs="PFGFLS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RSCTCQ+AdobeHeitiStd-Regular-Identity-H" w:hAnsi="RSCTCQ+AdobeHeitiStd-Regular-Identity-H" w:eastAsiaTheme="minorEastAsia" w:cs="RSCTCQ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RSCTCQ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PFGFLS+SegoeUI" w:eastAsiaTheme="minorEastAsia" w:cs="PFGFLS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PFGFL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RSCTCQ+AdobeHeitiStd-Regular-Identity-H" w:hAnsi="RSCTCQ+AdobeHeitiStd-Regular-Identity-H" w:eastAsiaTheme="minorEastAsia" w:cs="RSCTCQ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RSCTCQ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RSCTCQ+AdobeHeitiStd-Regular-Identity-H" w:hAnsi="RSCTCQ+AdobeHeitiStd-Regular-Identity-H" w:eastAsiaTheme="minorEastAsia" w:cs="RSCTCQ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ANPPGO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SCTCQ+AdobeHeitiStd-Regular-Identity-H" w:hAnsi="RSCTCQ+AdobeHeitiStd-Regular-Identity-H" w:eastAsiaTheme="minorEastAsia" w:cs="RSCTCQ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RSCTCQ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ANPPGO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ANPPGO+SegoeUI-SemiBold" w:eastAsiaTheme="minorEastAsia" w:cs="ANPPGO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PPGO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6" w:right="0" w:firstLine="0"/>
        <w:jc w:val="left"/>
        <w:rPr>
          <w:rFonts w:ascii="PFGFL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PFGFLS+SegoeUI" w:eastAsiaTheme="minorEastAsia" w:cs="PFGFLS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3.25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(19.79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FL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538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61" w:lineRule="exact"/>
        <w:ind w:left="2166" w:right="0" w:firstLine="0"/>
        <w:jc w:val="left"/>
        <w:rPr>
          <w:rFonts w:ascii="MWPCCA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35pt;height:703.8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MWPCC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RLOWOS+SegoeUI" w:eastAsiaTheme="minorEastAsia" w:cs="RLOWOS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3.25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(19.79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RLOWO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溶液。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MWPCC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RLOWO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MWPCC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RLOWOS+SegoeUI" w:eastAsiaTheme="minorEastAsia" w:cs="RLOWOS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32.5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LOWO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MWPCCA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RLOWO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MWPCC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RLOWOS+SegoeUI" w:eastAsiaTheme="minorEastAsia" w:cs="RLOWOS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20%</w:t>
      </w:r>
      <w:r>
        <w:rPr>
          <w:rFonts w:ascii="RLOWO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的</w:t>
      </w:r>
      <w:r>
        <w:rPr>
          <w:rFonts w:ascii="MWPCC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RLOWOS+SegoeUI" w:eastAsiaTheme="minorEastAsia" w:cs="RLOWOS+SegoeUI"/>
          <w:color w:val="808285"/>
          <w:sz w:val="16"/>
          <w:szCs w:val="22"/>
          <w:lang w:val="en-US" w:eastAsia="en-US" w:bidi="ar-SA"/>
        </w:rPr>
        <w:t>SBE-β-CD</w:t>
      </w:r>
      <w:r>
        <w:rPr>
          <w:rFonts w:ascii="RLOWO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⽣理盐⽔⽔溶液中，混合</w:t>
      </w:r>
    </w:p>
    <w:p>
      <w:pPr>
        <w:spacing w:before="32" w:after="0" w:line="210" w:lineRule="exact"/>
        <w:ind w:left="2166" w:right="0" w:firstLine="0"/>
        <w:jc w:val="left"/>
        <w:rPr>
          <w:rFonts w:ascii="MWPCCA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均匀。</w:t>
      </w:r>
    </w:p>
    <w:p>
      <w:pPr>
        <w:spacing w:before="176" w:after="0" w:line="242" w:lineRule="exact"/>
        <w:ind w:left="1991" w:right="0" w:firstLine="0"/>
        <w:jc w:val="left"/>
        <w:rPr>
          <w:rFonts w:ascii="FDOCOC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WPCCA+AdobeHeitiStd-Regular-Identity-H" w:hAnsi="MWPCCA+AdobeHeitiStd-Regular-Identity-H" w:eastAsiaTheme="minorEastAsia" w:cs="MWPCCA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MWPCCA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FDOCOC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RLOWOS+SegoeUI" w:eastAsiaTheme="minorEastAsia" w:cs="RLOWOS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3.25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(19.79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MWPCCA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MWPCC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RLOWOS+SegoeUI" w:eastAsiaTheme="minorEastAsia" w:cs="RLOWOS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3.25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(19.79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RLOWO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MWPCCA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MWPCCA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8" w:after="0" w:line="228" w:lineRule="exact"/>
        <w:ind w:left="2166" w:right="0" w:firstLine="0"/>
        <w:jc w:val="left"/>
        <w:rPr>
          <w:rFonts w:ascii="MWPCCA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MWPCC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RLOWO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MWPCC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RLOWOS+SegoeUI" w:eastAsiaTheme="minorEastAsia" w:cs="RLOWOS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32.5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LOWO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MWPCCA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RLOWO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MWPCC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RLOWOS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RLOWOS+SegoeUI" w:eastAsiaTheme="minorEastAsia" w:cs="RLOWOS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LOWOS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MWPCCA+AdobeHeitiStd-Regular-Identity-H" w:hAnsi="MWPCCA+AdobeHeitiStd-Regular-Identity-H" w:eastAsiaTheme="minorEastAsia" w:cs="MWPCCA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219" w:line="276" w:lineRule="exact"/>
        <w:ind w:left="216" w:right="0" w:firstLine="0"/>
        <w:jc w:val="left"/>
        <w:rPr>
          <w:rFonts w:ascii="FDOCOC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FDOCOC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FDOCOC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FDOCOC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2528"/>
        <w:gridCol w:w="20"/>
        <w:gridCol w:w="6344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DOCOC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2528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RLOWOS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MWPCCA+AdobeHeitiStd-Regular-Identity-H" w:hAnsi="MWPCCA+AdobeHeitiStd-Regular-Identity-H" w:eastAsiaTheme="minorEastAsia" w:cs="MWPCCA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MWPCCA+AdobeHeitiStd-Regular-Identity-H" w:hAnsi="Calibri" w:eastAsiaTheme="minorEastAsia" w:cstheme="minorBidi"/>
                <w:color w:val="3E3A39"/>
                <w:spacing w:val="105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LOWOS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Eugenol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LOWOS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34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MWPCCA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MWPCCA+AdobeHeitiStd-Regular-Identity-H" w:hAnsi="MWPCCA+AdobeHeitiStd-Regular-Identity-H" w:eastAsiaTheme="minorEastAsia" w:cs="MWPCCA+AdobeHeitiStd-Regular-Identity-H"/>
                <w:color w:val="3E3A39"/>
                <w:sz w:val="17"/>
                <w:szCs w:val="22"/>
                <w:lang w:val="en-US" w:eastAsia="en-US" w:bidi="ar-SA"/>
              </w:rPr>
              <w:t>丁⾹中发现的精油，具有抗</w:t>
            </w:r>
            <w:r>
              <w:rPr>
                <w:rFonts w:ascii="MWPCCA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PCCA+AdobeHeitiStd-Regular-Identity-H" w:hAnsi="MWPCCA+AdobeHeitiStd-Regular-Identity-H" w:eastAsiaTheme="minorEastAsia" w:cs="MWPCCA+AdobeHeitiStd-Regular-Identity-H"/>
                <w:color w:val="3E3A39"/>
                <w:sz w:val="17"/>
                <w:szCs w:val="22"/>
                <w:lang w:val="en-US" w:eastAsia="en-US" w:bidi="ar-SA"/>
              </w:rPr>
              <w:t>，驱⾍和抗氧化活性。</w:t>
            </w:r>
            <w:r>
              <w:rPr>
                <w:rFonts w:ascii="MWPCCA+AdobeHeitiStd-Regular-Identity-H" w:hAnsi="Calibri" w:eastAsiaTheme="minorEastAsia" w:cstheme="minorBidi"/>
                <w:color w:val="3E3A39"/>
                <w:spacing w:val="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LOWOS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Eugenol</w:t>
            </w:r>
            <w:r>
              <w:rPr>
                <w:rFonts w:ascii="MWPCCA+AdobeHeitiStd-Regular-Identity-H" w:hAnsi="MWPCCA+AdobeHeitiStd-Regular-Identity-H" w:eastAsiaTheme="minorEastAsia" w:cs="MWPCCA+AdobeHeitiStd-Regular-Identity-H"/>
                <w:color w:val="3E3A39"/>
                <w:sz w:val="17"/>
                <w:szCs w:val="22"/>
                <w:lang w:val="en-US" w:eastAsia="en-US" w:bidi="ar-SA"/>
              </w:rPr>
              <w:t>也可抑制脂质过氧化。</w:t>
            </w:r>
          </w:p>
        </w:tc>
      </w:tr>
    </w:tbl>
    <w:p>
      <w:pPr>
        <w:spacing w:before="312" w:after="0" w:line="236" w:lineRule="exact"/>
        <w:ind w:left="250" w:right="0" w:firstLine="0"/>
        <w:jc w:val="left"/>
        <w:rPr>
          <w:rFonts w:ascii="RLOWOS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FDOCOC+SegoeUI-SemiBold" w:hAnsi="FDOCOC+SegoeUI-SemiBold" w:eastAsiaTheme="minorEastAsia" w:cs="FDOCOC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FDOCOC+SegoeUI-SemiBold" w:hAnsi="Calibri" w:eastAsiaTheme="minorEastAsia" w:cstheme="minorBidi"/>
          <w:b/>
          <w:color w:val="3E3A39"/>
          <w:spacing w:val="708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Bacterial,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Parasite</w:t>
      </w:r>
      <w:r>
        <w:rPr>
          <w:rFonts w:ascii="RLOWOS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</w:p>
    <w:p>
      <w:pPr>
        <w:spacing w:before="304" w:after="0" w:line="237" w:lineRule="exact"/>
        <w:ind w:left="250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MWPCCA+AdobeHeitiStd-Regular-Identity-H" w:hAnsi="MWPCCA+AdobeHeitiStd-Regular-Identity-H" w:eastAsiaTheme="minorEastAsia" w:cs="MWPCCA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MWPCCA+AdobeHeitiStd-Regular-Identity-H" w:hAnsi="Calibri" w:eastAsiaTheme="minorEastAsia" w:cstheme="minorBidi"/>
          <w:color w:val="3E3A39"/>
          <w:spacing w:val="1053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essential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oil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O.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gratissimum,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eugenol,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efficient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inhibiting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eclodibility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H.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contortus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eggs,</w:t>
      </w:r>
    </w:p>
    <w:p>
      <w:pPr>
        <w:spacing w:before="35" w:after="0" w:line="236" w:lineRule="exact"/>
        <w:ind w:left="202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showing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possible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utilizations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gastrointestinal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helmintosis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small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ruminants.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0.50%</w:t>
      </w:r>
    </w:p>
    <w:p>
      <w:pPr>
        <w:spacing w:before="35" w:after="0" w:line="236" w:lineRule="exact"/>
        <w:ind w:left="202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concentration,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essential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oil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eugenol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maximum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eclodibility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RLOWOS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Eugenol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superoxide</w:t>
      </w:r>
    </w:p>
    <w:p>
      <w:pPr>
        <w:spacing w:before="35" w:after="0" w:line="236" w:lineRule="exact"/>
        <w:ind w:left="202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anion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generation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xanthine-xanthine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oxidase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system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extent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50%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250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RLOWOS+SegoeUI" w:eastAsiaTheme="minorEastAsia" w:cs="RLOWOS+SegoeUI"/>
          <w:color w:val="3E3A39"/>
          <w:sz w:val="17"/>
          <w:szCs w:val="22"/>
          <w:lang w:val="en-US" w:eastAsia="en-US" w:bidi="ar-SA"/>
        </w:rPr>
        <w:t>μM.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Eugenol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</w:p>
    <w:p>
      <w:pPr>
        <w:spacing w:before="35" w:after="0" w:line="236" w:lineRule="exact"/>
        <w:ind w:left="202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generation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hydroxyl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radicals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extent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70%.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OH-radical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formation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2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hydroxylation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salicylate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2,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3-dihydroxy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benzoate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inhibited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extent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46%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eugenol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250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RLOWOS+SegoeUI" w:eastAsiaTheme="minorEastAsia" w:cs="RLOWOS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RLOWOS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2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Eugenol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protects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RS-induced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development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IBS-like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gastrointestinal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dysfunction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through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modulation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2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HPA-axis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brain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monoaminergic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pathways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apart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antioxidant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effect.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Eugenol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(50</w:t>
      </w:r>
      <w:r>
        <w:rPr>
          <w:rFonts w:ascii="RLOWOS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reduces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80%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2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RS-induced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fecal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pellets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similar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ondansetron.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Eugenol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attenuates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80%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stress-induced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</w:t>
      </w:r>
    </w:p>
    <w:p>
      <w:pPr>
        <w:spacing w:before="35" w:after="0" w:line="236" w:lineRule="exact"/>
        <w:ind w:left="202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plasma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corticosterone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modulates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serotonergic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system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PFC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amygdala.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Eugenol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attenuates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stress-</w:t>
      </w:r>
    </w:p>
    <w:p>
      <w:pPr>
        <w:spacing w:before="35" w:after="0" w:line="236" w:lineRule="exact"/>
        <w:ind w:left="202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changes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norepinephrine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potentiates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antioxidant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defense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system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brain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regions</w:t>
      </w:r>
      <w:r>
        <w:rPr>
          <w:rFonts w:ascii="RLOWOS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MWPCCA+AdobeHeitiStd-Regular-Identity-H" w:hAnsi="MWPCCA+AdobeHeitiStd-Regular-Identity-H" w:eastAsiaTheme="minorEastAsia" w:cs="MWPCCA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MWPCCA+AdobeHeitiStd-Regular-Identity-H" w:hAnsi="Calibri" w:eastAsiaTheme="minorEastAsia" w:cstheme="minorBidi"/>
          <w:color w:val="3E3A39"/>
          <w:spacing w:val="1053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Eugenol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(33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orally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causes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suppression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knee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joint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edema,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which</w:t>
      </w:r>
    </w:p>
    <w:p>
      <w:pPr>
        <w:spacing w:before="0" w:after="0" w:line="266" w:lineRule="exact"/>
        <w:ind w:left="202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continues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reduced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treatment.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days,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eugenol-treated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RLOWOS+SegoeUI" w:eastAsiaTheme="minorEastAsia" w:cs="RLOWOS+SegoeUI"/>
          <w:color w:val="3E3A39"/>
          <w:sz w:val="17"/>
          <w:szCs w:val="22"/>
          <w:lang w:val="en-US" w:eastAsia="en-US" w:bidi="ar-SA"/>
        </w:rPr>
        <w:t>mycobacterial</w:t>
      </w:r>
      <w:r>
        <w:rPr>
          <w:rFonts w:ascii="RLOWOS+SegoeUI" w:hAnsi="RLOWOS+SegoeUI" w:eastAsiaTheme="minorEastAsia" w:cs="RLOWOS+SegoeUI"/>
          <w:color w:val="3E3A39"/>
          <w:sz w:val="17"/>
          <w:szCs w:val="22"/>
          <w:lang w:val="en-US" w:eastAsia="en-US" w:bidi="ar-SA"/>
        </w:rPr>
        <w:cr/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arthritic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marked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reduction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paw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swelling</w:t>
      </w:r>
      <w:r>
        <w:rPr>
          <w:rFonts w:ascii="RLOWOS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[4]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FDOCOC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FDOCOC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DOCOC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FDOCOC+SegoeUI-SemiBold" w:hAnsi="Calibri" w:eastAsiaTheme="minorEastAsia" w:cstheme="minorBidi"/>
          <w:b/>
          <w:color w:val="3E3A39"/>
          <w:spacing w:val="767"/>
          <w:sz w:val="14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essential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oil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eugenol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diluted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aqueous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Tween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(0.5%)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concentrations:</w:t>
      </w:r>
    </w:p>
    <w:p>
      <w:pPr>
        <w:spacing w:before="35" w:after="0" w:line="236" w:lineRule="exact"/>
        <w:ind w:left="205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0.0625,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0.12,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0.25,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1.0%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egg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hatch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</w:t>
      </w:r>
      <w:r>
        <w:rPr>
          <w:rFonts w:ascii="RLOWOS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FDOCOC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Rats: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arthritic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given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either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ingwerol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(0.33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mL/kg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33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eugenol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(0.33</w:t>
      </w:r>
    </w:p>
    <w:p>
      <w:pPr>
        <w:spacing w:before="35" w:after="0" w:line="236" w:lineRule="exact"/>
        <w:ind w:left="260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FDOCO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DOCOC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[4]</w:t>
      </w:r>
      <w:r>
        <w:rPr>
          <w:rFonts w:ascii="FDOCOC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mL/kg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33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orally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prior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induction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arthritis.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This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continued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26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</w:t>
      </w:r>
    </w:p>
    <w:p>
      <w:pPr>
        <w:spacing w:before="35" w:after="0" w:line="236" w:lineRule="exact"/>
        <w:ind w:left="205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basis.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Mycobaterium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trated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receive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physiological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saline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orally</w:t>
      </w:r>
      <w:r>
        <w:rPr>
          <w:rFonts w:ascii="RLOWOS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[4]</w:t>
      </w:r>
      <w:r>
        <w:rPr>
          <w:rFonts w:ascii="RLOWOS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1" w:right="0" w:firstLine="0"/>
        <w:jc w:val="left"/>
        <w:rPr>
          <w:rFonts w:ascii="RLOWO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683" w:after="0" w:line="276" w:lineRule="exact"/>
        <w:ind w:left="31" w:right="0" w:firstLine="0"/>
        <w:jc w:val="left"/>
        <w:rPr>
          <w:rFonts w:ascii="FDOCOC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FDOCOC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18" w:after="0" w:line="255" w:lineRule="exact"/>
        <w:ind w:left="0" w:right="0" w:firstLine="0"/>
        <w:jc w:val="left"/>
        <w:rPr>
          <w:rFonts w:ascii="RLOWOS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Pessoa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LM,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Anthelmintic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activity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essential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oil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Ocimum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gratissimum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Linn.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eugenol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against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Haemonchus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contortus.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Vet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Parasitol.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2002</w:t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LOWOS+SegoeUI" w:hAnsi="RLOWOS+SegoeUI" w:eastAsiaTheme="minorEastAsia" w:cs="RLOWOS+SegoeUI"/>
          <w:color w:val="3E3A39"/>
          <w:sz w:val="16"/>
          <w:szCs w:val="22"/>
          <w:lang w:val="en-US" w:eastAsia="en-US" w:bidi="ar-SA"/>
        </w:rPr>
        <w:t>Oct</w:t>
      </w:r>
      <w:r>
        <w:rPr>
          <w:rFonts w:ascii="RLOWOS+SegoeUI" w:hAnsi="RLOWOS+SegoeUI" w:eastAsiaTheme="minorEastAsia" w:cs="RLOWOS+SegoeUI"/>
          <w:color w:val="3E3A39"/>
          <w:sz w:val="16"/>
          <w:szCs w:val="22"/>
          <w:lang w:val="en-US" w:eastAsia="en-US" w:bidi="ar-SA"/>
        </w:rPr>
        <w:cr/>
      </w:r>
      <w:r>
        <w:rPr>
          <w:rFonts w:ascii="RLOWOS+SegoeUI" w:hAnsi="Calibri" w:eastAsiaTheme="minorEastAsia" w:cstheme="minorBidi"/>
          <w:color w:val="3E3A39"/>
          <w:sz w:val="16"/>
          <w:szCs w:val="22"/>
          <w:lang w:val="en-US" w:eastAsia="en-US" w:bidi="ar-SA"/>
        </w:rPr>
        <w:t>16;109(1-2):59-63.</w:t>
      </w:r>
    </w:p>
    <w:p>
      <w:pPr>
        <w:spacing w:before="624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23" w:lineRule="exact"/>
        <w:ind w:left="0" w:right="0" w:firstLine="0"/>
        <w:jc w:val="left"/>
        <w:rPr>
          <w:rFonts w:ascii="TQHLMI+SegoeUI" w:hAnsi="Calibri"/>
          <w:color w:val="000000"/>
          <w:sz w:val="16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1072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25pt;height:117.3pt;margin-top:34pt;margin-left:29.85pt;mso-position-horizontal-relative:page;mso-position-vertical-relative:page;position:absolute;z-index:-251653120">
            <v:imagedata r:id="rId9" o:title=""/>
          </v:shape>
        </w:pict>
      </w:r>
      <w:r>
        <w:rPr>
          <w:noProof/>
        </w:rPr>
        <w:pict>
          <v:shape id="_x0000_s1032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Reddy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AC,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Studies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inhibitory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effects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curcumin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eugenol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formation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reactive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oxygenspecies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oxidation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ferrous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iron.</w:t>
      </w:r>
    </w:p>
    <w:p>
      <w:pPr>
        <w:spacing w:before="32" w:after="0" w:line="223" w:lineRule="exact"/>
        <w:ind w:left="0" w:right="0" w:firstLine="0"/>
        <w:jc w:val="left"/>
        <w:rPr>
          <w:rFonts w:ascii="TQHLMI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Mol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Biochem.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1994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Aug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17;137(1):1-8.</w:t>
      </w:r>
    </w:p>
    <w:p>
      <w:pPr>
        <w:spacing w:before="170" w:after="0" w:line="255" w:lineRule="exact"/>
        <w:ind w:left="0" w:right="0" w:firstLine="0"/>
        <w:jc w:val="left"/>
        <w:rPr>
          <w:rFonts w:ascii="TQHLMI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Garabadu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D,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Protective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eugenol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against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restraint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stress-induced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gastrointestinal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dysfunction: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Potential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use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irritable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bowel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TQHLMI+SegoeUI" w:eastAsiaTheme="minorEastAsia" w:cs="TQHLMI+SegoeUI"/>
          <w:color w:val="3E3A39"/>
          <w:sz w:val="16"/>
          <w:szCs w:val="22"/>
          <w:lang w:val="en-US" w:eastAsia="en-US" w:bidi="ar-SA"/>
        </w:rPr>
        <w:t>syndrome.</w:t>
      </w:r>
      <w:r>
        <w:rPr>
          <w:rFonts w:ascii="TQHLMI+SegoeUI" w:hAnsi="TQHLMI+SegoeUI" w:eastAsiaTheme="minorEastAsia" w:cs="TQHLMI+SegoeUI"/>
          <w:color w:val="3E3A39"/>
          <w:sz w:val="16"/>
          <w:szCs w:val="22"/>
          <w:lang w:val="en-US" w:eastAsia="en-US" w:bidi="ar-SA"/>
        </w:rPr>
        <w:cr/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Pharm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Biol.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2015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Jul;53(7):968-74.</w:t>
      </w:r>
    </w:p>
    <w:p>
      <w:pPr>
        <w:spacing w:before="203" w:after="0" w:line="223" w:lineRule="exact"/>
        <w:ind w:left="0" w:right="0" w:firstLine="0"/>
        <w:jc w:val="left"/>
        <w:rPr>
          <w:rFonts w:ascii="TQHLMI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[4].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Sharma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JN,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Suppressive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effects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eugenol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ginger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oil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arthritic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rats.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Pharmacology.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1994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QHLMI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Nov;49(5):314-8.</w:t>
      </w:r>
    </w:p>
    <w:p>
      <w:pPr>
        <w:spacing w:before="428" w:after="0" w:line="257" w:lineRule="exact"/>
        <w:ind w:left="0" w:right="0" w:firstLine="0"/>
        <w:jc w:val="left"/>
        <w:rPr>
          <w:rFonts w:ascii="TQHLMI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TQHLMI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3862" w:after="0" w:line="236" w:lineRule="exact"/>
        <w:ind w:left="1918" w:right="0" w:firstLine="0"/>
        <w:jc w:val="left"/>
        <w:rPr>
          <w:rFonts w:ascii="NBAITV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BAIT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TEHJR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TEHJRR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TEHJRR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744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EHJRR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TEHJRR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TEHJRR+SegoeUI" w:hAnsi="TEHJRR+SegoeUI" w:eastAsiaTheme="minorEastAsia" w:cs="TEHJRR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TEHJRR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TJIKTP+AdobeHeitiStd-Regular-Identity-H" w:hAnsi="TJIKTP+AdobeHeitiStd-Regular-Identity-H" w:eastAsiaTheme="minorEastAsia" w:cs="TJIKTP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722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ANPPGO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PFGFLS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RSCTCQ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MWPCCA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RLOWOS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FDOCOC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TQHLMI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NBAITV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TEHJRR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TJIKTP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