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/>
        <w:jc w:val="both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公立医疗机构医疗服务价格管理制度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根据医疗保障部门统一管理医疗服务价格新体制，公立 医疗机构服务价格动态调整，由县医疗保障局组织实施，县 级公立医疗机构调价方案应报市医疗保障局批准。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（一）动态调整的条件与约束条件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有以下情况之一的，可以动态调整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医疗服务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价 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、门诊病人次均卫生材料费用和住院病人次均卫生材 料费用下降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、门诊病人次均药品费用和住院病人次均药品费用下 降达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5%；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95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、医用耗材价格管理政策出现重大调整，如取消加成 等；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、国家和省、市规定的价格调整政策；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、其他影响公立医疗机构运行的重大因素。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有以下情况之一的，不得提高医疗服务价格：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、上年度区域内医疗总费用增幅高于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10%;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88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、上年度区域内居民消费价格水平涨幅超过预期调控 目标；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、区域内医保统筹基金当年收不抵支；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7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、区域内出现重大灾害、重大公共卫生事件等不宜提</w:t>
      </w:r>
      <w:r>
        <w:rPr>
          <w:color w:val="000000"/>
          <w:spacing w:val="0"/>
          <w:w w:val="100"/>
          <w:position w:val="0"/>
          <w:shd w:val="clear" w:color="auto" w:fill="auto"/>
        </w:rPr>
        <w:t>高医疗服务价格的其他情形。（可作为医疗服务价格动态调 整的操作流程）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（二）医疗服务价格管理方式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医疗服务价格定价方式由现行按医疗机构隶属关系（省 属、县属、乡镇）定价，逐步向按医疗机构级别（三级、二 级、一级）定价过渡。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（三）医疗服务价格调整规模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按照“腾空间、调结构、保衔接”的改革路径，医疗服 务价格调整规模主要根据降低费用腾出的空间情况、区域内 医疗机构医疗总收入和药品、卫生材料、检查化验收入占医 疗收入比重（不含中药饮片）等变化情况，综合考虑当年居 民消费价格指数、城乡居民可支配收入、医保基金承受能力、 医院刚性支出变化情况等因素确定。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（四）医疗服务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测算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6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医疗服务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由非物质消耗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（含人力消耗、技 术难度和风险程度）、固定资产折旧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、无形资产摊销成 本、医疗风险基金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、内涵一次性耗材和其他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构成。 通过信息化手段合理测算医疗服务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，更好的</w:t>
      </w:r>
      <w:r>
        <w:rPr>
          <w:color w:val="000000"/>
          <w:spacing w:val="0"/>
          <w:w w:val="100"/>
          <w:position w:val="0"/>
          <w:shd w:val="clear" w:color="auto" w:fill="auto"/>
        </w:rPr>
        <w:t>表达</w:t>
      </w:r>
      <w:r>
        <w:rPr>
          <w:color w:val="000000"/>
          <w:spacing w:val="0"/>
          <w:w w:val="100"/>
          <w:position w:val="0"/>
          <w:shd w:val="clear" w:color="auto" w:fill="auto"/>
        </w:rPr>
        <w:t>医 疗服务技术劳务价值，理顺医疗服务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的比价关系。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（五）医疗服务价格动态调整考核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58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重点考核控制医疗费用不合理增长情况，考核指标包括 区域医疗费用增长、门诊和住院病人次均医药费用、检查和 </w:t>
      </w:r>
      <w:r>
        <w:rPr>
          <w:color w:val="000000"/>
          <w:spacing w:val="0"/>
          <w:w w:val="100"/>
          <w:position w:val="0"/>
          <w:shd w:val="clear" w:color="auto" w:fill="auto"/>
        </w:rPr>
        <w:t>化验收入占医疗收入比重、卫生材料收入占医疗收入比重 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9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（六）价格和支付政策衔接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765" w:lineRule="exact"/>
        <w:ind w:left="0" w:right="0" w:firstLine="7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对满足启动条件而实施的价格动态调整，按本地医保政 策同步给予支付。对因实施重大改革措施等情形实施的价格 动态调整，也要做好价格和支付政策的衔接，同步公布实施 价格调整和医保支付的具体政策，确保群众负担总体不增 加。</w:t>
      </w:r>
    </w:p>
    <w:sectPr>
      <w:pgSz w:w="12240" w:h="20160"/>
      <w:pgMar w:top="1491" w:right="1024" w:bottom="1661" w:left="1032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540" w:after="380"/>
      <w:ind w:firstLine="76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