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3" w:name="_GoBack"/>
      <w:bookmarkStart w:id="0" w:name="_Toc453597319"/>
      <w:bookmarkStart w:id="1" w:name="_Toc415818939"/>
      <w:bookmarkStart w:id="2" w:name="OLE_LINK13"/>
      <w:bookmarkStart w:id="3" w:name="_Toc415143481"/>
      <w:bookmarkStart w:id="4" w:name="_Toc415142861"/>
      <w:bookmarkStart w:id="5" w:name="_Toc418070112"/>
      <w:bookmarkStart w:id="6" w:name="_Toc517262917"/>
      <w:bookmarkStart w:id="7" w:name="_Toc438987549"/>
      <w:bookmarkStart w:id="8" w:name="_Toc481801204"/>
      <w:bookmarkStart w:id="9" w:name="OLE_LINK15"/>
      <w:bookmarkStart w:id="10" w:name="OLE_LINK39"/>
      <w:bookmarkStart w:id="11" w:name="OLE_LINK40"/>
      <w:bookmarkStart w:id="12" w:name="OLE_LINK24"/>
      <w:r>
        <w:rPr>
          <w:lang w:eastAsia="zh-CN"/>
        </w:rPr>
        <w:t>阿柏西普生物类似药</w:t>
      </w:r>
      <w:r>
        <w:rPr>
          <w:rFonts w:hint="eastAsia"/>
          <w:lang w:eastAsia="zh-CN"/>
        </w:rPr>
        <w:t>全球市场总体规模</w:t>
      </w:r>
    </w:p>
    <w:bookmarkEnd w:id="13"/>
    <w:p>
      <w:pPr>
        <w:pStyle w:val="145"/>
        <w:rPr>
          <w:lang w:eastAsia="zh-CN"/>
        </w:rPr>
      </w:pPr>
      <w:r>
        <w:rPr>
          <w:rFonts w:hint="eastAsia"/>
          <w:lang w:eastAsia="zh-CN"/>
        </w:rPr>
        <w:t>据QYResearch调研团队最新报告“全球阿柏西普生物类似药市场报告2023-2029”显示，预计2029年全球阿柏西普生物类似药市场规模将达到104亿美元，未来几年年复合增长率CAGR为1.4%。</w:t>
      </w:r>
    </w:p>
    <w:p>
      <w:pPr>
        <w:pStyle w:val="148"/>
        <w:rPr>
          <w:lang w:eastAsia="zh-CN"/>
        </w:rPr>
      </w:pPr>
      <w:r>
        <w:rPr>
          <w:lang w:eastAsia="zh-CN"/>
        </w:rPr>
        <w:t>阿柏西普生物类似药</w:t>
      </w:r>
      <w:r>
        <w:rPr>
          <w:rFonts w:hint="eastAsia"/>
          <w:lang w:eastAsia="zh-CN"/>
        </w:rPr>
        <w:t>，全球市场总体规模</w:t>
      </w:r>
    </w:p>
    <w:p>
      <w:pPr>
        <w:pStyle w:val="145"/>
      </w:pPr>
      <w:r>
        <w:drawing>
          <wp:inline distT="0" distB="0" distL="0" distR="0">
            <wp:extent cx="6270625" cy="2879725"/>
            <wp:effectExtent l="0" t="0" r="0" b="0"/>
            <wp:docPr id="1619737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143"/>
        <w:rPr>
          <w:lang w:eastAsia="zh-CN"/>
        </w:rPr>
      </w:pPr>
      <w:r>
        <w:rPr>
          <w:rFonts w:hint="eastAsia"/>
          <w:lang w:eastAsia="zh-CN"/>
        </w:rPr>
        <w:t>如上图表/数据，摘自QYResearch最新报告“全球</w:t>
      </w:r>
      <w:r>
        <w:rPr>
          <w:lang w:eastAsia="zh-CN"/>
        </w:rPr>
        <w:t>阿柏西普生物类似药</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阿柏西普生物类似药</w:t>
      </w:r>
      <w:r>
        <w:rPr>
          <w:rFonts w:hint="eastAsia"/>
          <w:lang w:eastAsia="zh-CN"/>
        </w:rPr>
        <w:t>市场前</w:t>
      </w:r>
      <w:r>
        <w:rPr>
          <w:lang w:eastAsia="zh-CN"/>
        </w:rPr>
        <w:t>4</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4572000" cy="4399915"/>
            <wp:effectExtent l="0" t="0" r="0" b="635"/>
            <wp:docPr id="48069713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如上图表/数据，摘自QYResearch报告“全球</w:t>
      </w:r>
      <w:r>
        <w:rPr>
          <w:lang w:eastAsia="zh-CN"/>
        </w:rPr>
        <w:t>阿柏西普生物类似药</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3"/>
        <w:rPr>
          <w:lang w:eastAsia="zh-CN"/>
        </w:rPr>
      </w:pPr>
    </w:p>
    <w:p>
      <w:pPr>
        <w:pStyle w:val="145"/>
        <w:rPr>
          <w:lang w:eastAsia="zh-CN"/>
        </w:rPr>
      </w:pPr>
      <w:r>
        <w:rPr>
          <w:rFonts w:hint="eastAsia"/>
          <w:lang w:eastAsia="zh-CN"/>
        </w:rPr>
        <w:t>根据QYResearch头部企业研究中心调研，G90全球范围内阿柏西普生物类似药生产商主要包括Regeneron Pharmaceuticals、Bayer HealthCare、Kanghong Pharma等。2022年，全球前三大厂商占有大约100.0%的市场份额。</w:t>
      </w:r>
    </w:p>
    <w:p>
      <w:pPr>
        <w:pStyle w:val="145"/>
        <w:rPr>
          <w:lang w:eastAsia="zh-CN"/>
        </w:rPr>
      </w:pPr>
    </w:p>
    <w:p>
      <w:pPr>
        <w:pStyle w:val="145"/>
        <w:rPr>
          <w:lang w:eastAsia="zh-CN"/>
        </w:rPr>
      </w:pPr>
    </w:p>
    <w:p>
      <w:pPr>
        <w:pStyle w:val="145"/>
        <w:rPr>
          <w:lang w:eastAsia="zh-CN"/>
        </w:rPr>
      </w:pPr>
    </w:p>
    <w:p>
      <w:pPr>
        <w:pStyle w:val="148"/>
        <w:rPr>
          <w:lang w:eastAsia="zh-CN"/>
        </w:rPr>
      </w:pPr>
      <w:r>
        <w:rPr>
          <w:lang w:eastAsia="zh-CN"/>
        </w:rPr>
        <w:t>阿柏西普生物类似药</w:t>
      </w:r>
      <w:r>
        <w:rPr>
          <w:rFonts w:hint="eastAsia"/>
          <w:lang w:eastAsia="zh-CN"/>
        </w:rPr>
        <w:t>，全球市场规模，按产品类型细分，2mg处于主导地位</w:t>
      </w:r>
    </w:p>
    <w:p>
      <w:pPr>
        <w:pStyle w:val="145"/>
        <w:rPr>
          <w:lang w:eastAsia="zh-CN"/>
        </w:rPr>
      </w:pPr>
      <w:r>
        <w:rPr>
          <w:lang w:eastAsia="zh-CN"/>
        </w:rPr>
        <w:drawing>
          <wp:inline distT="0" distB="0" distL="0" distR="0">
            <wp:extent cx="6270625" cy="2891155"/>
            <wp:effectExtent l="0" t="0" r="0" b="4445"/>
            <wp:docPr id="15388559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855964"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271200" cy="2891170"/>
                    </a:xfrm>
                    <a:prstGeom prst="rect">
                      <a:avLst/>
                    </a:prstGeom>
                    <a:noFill/>
                  </pic:spPr>
                </pic:pic>
              </a:graphicData>
            </a:graphic>
          </wp:inline>
        </w:drawing>
      </w:r>
    </w:p>
    <w:p>
      <w:pPr>
        <w:pStyle w:val="145"/>
        <w:rPr>
          <w:lang w:eastAsia="zh-CN"/>
        </w:rPr>
      </w:pPr>
      <w:r>
        <w:drawing>
          <wp:inline distT="0" distB="0" distL="0" distR="0">
            <wp:extent cx="6270625" cy="2879725"/>
            <wp:effectExtent l="0" t="0" r="0" b="0"/>
            <wp:docPr id="153291414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如上图表/数据，摘自QYResearch最新报告“全球</w:t>
      </w:r>
      <w:r>
        <w:rPr>
          <w:lang w:eastAsia="zh-CN"/>
        </w:rPr>
        <w:t>阿柏西普生物类似药</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就产品类型而言，目前2mg是最主要的细分产品，占据大约100.0%的份额。</w:t>
      </w:r>
    </w:p>
    <w:p>
      <w:pPr>
        <w:pStyle w:val="145"/>
        <w:rPr>
          <w:lang w:eastAsia="zh-CN"/>
        </w:rPr>
      </w:pPr>
    </w:p>
    <w:p>
      <w:pPr>
        <w:pStyle w:val="148"/>
        <w:rPr>
          <w:lang w:eastAsia="zh-CN"/>
        </w:rPr>
      </w:pPr>
      <w:r>
        <w:rPr>
          <w:lang w:eastAsia="zh-CN"/>
        </w:rPr>
        <w:t>阿柏西普生物类似药</w:t>
      </w:r>
      <w:r>
        <w:rPr>
          <w:rFonts w:hint="eastAsia"/>
          <w:lang w:eastAsia="zh-CN"/>
        </w:rPr>
        <w:t>，全球市场规模，按应用细分，Hospitals是最大的下游市场，占有</w:t>
      </w:r>
      <w:r>
        <w:rPr>
          <w:lang w:eastAsia="zh-CN"/>
        </w:rPr>
        <w:t>71.1</w:t>
      </w:r>
      <w:r>
        <w:rPr>
          <w:rFonts w:hint="eastAsia"/>
          <w:lang w:eastAsia="zh-CN"/>
        </w:rPr>
        <w:t>%份额。</w:t>
      </w:r>
    </w:p>
    <w:p>
      <w:pPr>
        <w:pStyle w:val="145"/>
      </w:pPr>
      <w:r>
        <w:drawing>
          <wp:inline distT="0" distB="0" distL="0" distR="0">
            <wp:extent cx="6267450" cy="2877820"/>
            <wp:effectExtent l="0" t="0" r="0" b="0"/>
            <wp:docPr id="8621952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195229"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267450" cy="2877820"/>
                    </a:xfrm>
                    <a:prstGeom prst="rect">
                      <a:avLst/>
                    </a:prstGeom>
                    <a:noFill/>
                  </pic:spPr>
                </pic:pic>
              </a:graphicData>
            </a:graphic>
          </wp:inline>
        </w:drawing>
      </w:r>
    </w:p>
    <w:p>
      <w:pPr>
        <w:pStyle w:val="145"/>
        <w:rPr>
          <w:lang w:eastAsia="zh-CN"/>
        </w:rPr>
      </w:pPr>
      <w:r>
        <w:drawing>
          <wp:inline distT="0" distB="0" distL="0" distR="0">
            <wp:extent cx="6188710" cy="2842260"/>
            <wp:effectExtent l="0" t="0" r="2540" b="0"/>
            <wp:docPr id="20570524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lang w:eastAsia="zh-CN"/>
        </w:rPr>
        <w:t xml:space="preserve"> </w:t>
      </w:r>
    </w:p>
    <w:p>
      <w:pPr>
        <w:pStyle w:val="143"/>
        <w:rPr>
          <w:lang w:eastAsia="zh-CN"/>
        </w:rPr>
      </w:pPr>
      <w:r>
        <w:rPr>
          <w:rFonts w:hint="eastAsia"/>
          <w:lang w:eastAsia="zh-CN"/>
        </w:rPr>
        <w:t>如上图表/数据，摘自QYResearch最新报告“全球</w:t>
      </w:r>
      <w:r>
        <w:rPr>
          <w:lang w:eastAsia="zh-CN"/>
        </w:rPr>
        <w:t>阿柏西普生物类似药</w:t>
      </w:r>
      <w:r>
        <w:rPr>
          <w:rFonts w:hint="eastAsia"/>
          <w:lang w:eastAsia="zh-CN"/>
        </w:rPr>
        <w:t>市场研究报告2023-2029</w:t>
      </w:r>
      <w:r>
        <w:rPr>
          <w:lang w:eastAsia="zh-CN"/>
        </w:rPr>
        <w:t>.</w:t>
      </w:r>
    </w:p>
    <w:p>
      <w:pPr>
        <w:pStyle w:val="145"/>
        <w:rPr>
          <w:lang w:eastAsia="zh-CN"/>
        </w:rPr>
      </w:pPr>
      <w:r>
        <w:rPr>
          <w:rFonts w:hint="eastAsia"/>
          <w:lang w:eastAsia="zh-CN"/>
        </w:rPr>
        <w:t>就产品应用而言，目前Hospitals是最主要的需求来源，占据大约71.1%的份额。</w:t>
      </w:r>
    </w:p>
    <w:p>
      <w:pPr>
        <w:pStyle w:val="145"/>
        <w:rPr>
          <w:lang w:eastAsia="zh-CN"/>
        </w:rPr>
      </w:pPr>
    </w:p>
    <w:p>
      <w:pPr>
        <w:pStyle w:val="148"/>
        <w:rPr>
          <w:lang w:eastAsia="zh-CN"/>
        </w:rPr>
      </w:pPr>
      <w:r>
        <w:rPr>
          <w:rFonts w:hint="eastAsia"/>
          <w:lang w:eastAsia="zh-CN"/>
        </w:rPr>
        <w:t>全球主要市场</w:t>
      </w:r>
      <w:r>
        <w:rPr>
          <w:lang w:eastAsia="zh-CN"/>
        </w:rPr>
        <w:t>阿柏西普生物类似药</w:t>
      </w:r>
      <w:r>
        <w:rPr>
          <w:rFonts w:hint="eastAsia"/>
          <w:lang w:eastAsia="zh-CN"/>
        </w:rPr>
        <w:t>规模</w:t>
      </w:r>
    </w:p>
    <w:p>
      <w:pPr>
        <w:pStyle w:val="145"/>
        <w:rPr>
          <w:lang w:val="en-US" w:eastAsia="zh-CN"/>
        </w:rPr>
      </w:pPr>
      <w:r>
        <w:drawing>
          <wp:inline distT="0" distB="0" distL="0" distR="0">
            <wp:extent cx="6188710" cy="2842260"/>
            <wp:effectExtent l="0" t="0" r="2540" b="0"/>
            <wp:docPr id="16733493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145"/>
        <w:rPr>
          <w:lang w:val="en-US" w:eastAsia="zh-CN"/>
        </w:rPr>
      </w:pPr>
      <w:r>
        <w:drawing>
          <wp:inline distT="0" distB="0" distL="0" distR="0">
            <wp:extent cx="6188710" cy="2842260"/>
            <wp:effectExtent l="0" t="0" r="2540" b="0"/>
            <wp:docPr id="140287083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143"/>
        <w:rPr>
          <w:lang w:eastAsia="zh-CN"/>
        </w:rPr>
      </w:pPr>
      <w:r>
        <w:rPr>
          <w:rFonts w:hint="eastAsia"/>
          <w:lang w:eastAsia="zh-CN"/>
        </w:rPr>
        <w:t>如上图表/数据，摘自QYResearch最新报告“全球</w:t>
      </w:r>
      <w:r>
        <w:rPr>
          <w:lang w:eastAsia="zh-CN"/>
        </w:rPr>
        <w:t>阿柏西普生物类似药</w:t>
      </w:r>
      <w:r>
        <w:rPr>
          <w:rFonts w:hint="eastAsia"/>
          <w:lang w:eastAsia="zh-CN"/>
        </w:rPr>
        <w:t>市场研究报告2023-2029</w:t>
      </w:r>
      <w:r>
        <w:rPr>
          <w:lang w:eastAsia="zh-CN"/>
        </w:rPr>
        <w:t>.</w:t>
      </w:r>
    </w:p>
    <w:p>
      <w:pPr>
        <w:pStyle w:val="145"/>
        <w:rPr>
          <w:lang w:eastAsia="zh-CN"/>
        </w:rPr>
      </w:pPr>
    </w:p>
    <w:p>
      <w:pPr>
        <w:pStyle w:val="145"/>
        <w:rPr>
          <w:lang w:eastAsia="zh-CN"/>
        </w:rPr>
      </w:pPr>
    </w:p>
    <w:p>
      <w:pPr>
        <w:pStyle w:val="145"/>
        <w:rPr>
          <w:lang w:eastAsia="zh-CN"/>
        </w:rPr>
      </w:pPr>
    </w:p>
    <w:p>
      <w:pPr>
        <w:pStyle w:val="145"/>
        <w:rPr>
          <w:lang w:eastAsia="zh-CN"/>
        </w:rPr>
      </w:pP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专利保护期限到期：Aflibercept的专利保护期限将在未来几年到期，为生物类似药物制造商提供进入市场的机会；</w:t>
      </w:r>
    </w:p>
    <w:p>
      <w:pPr>
        <w:pStyle w:val="145"/>
        <w:rPr>
          <w:lang w:eastAsia="zh-CN"/>
        </w:rPr>
      </w:pPr>
      <w:r>
        <w:rPr>
          <w:rFonts w:hint="eastAsia"/>
          <w:lang w:eastAsia="zh-CN"/>
        </w:rPr>
        <w:t>成本竞争优势：Aflibercept的高昂价格使得生物类似药物在成本上具有竞争优势，促进市场增长；</w:t>
      </w:r>
    </w:p>
    <w:p>
      <w:pPr>
        <w:pStyle w:val="145"/>
        <w:rPr>
          <w:lang w:eastAsia="zh-CN"/>
        </w:rPr>
      </w:pPr>
      <w:r>
        <w:rPr>
          <w:rFonts w:hint="eastAsia"/>
          <w:lang w:eastAsia="zh-CN"/>
        </w:rPr>
        <w:t>治疗需求增加：癌症和眼部疾病治疗需求的增加将推动Aflibercept生物类似药物市场的增长。</w:t>
      </w: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研发和生产成本高：生物类似药物的研发和生产需要投入大量资金和时间，制造商需要克服技术难题和监管要求；</w:t>
      </w:r>
    </w:p>
    <w:p>
      <w:pPr>
        <w:pStyle w:val="145"/>
        <w:rPr>
          <w:lang w:eastAsia="zh-CN"/>
        </w:rPr>
      </w:pPr>
      <w:r>
        <w:rPr>
          <w:rFonts w:hint="eastAsia"/>
          <w:lang w:eastAsia="zh-CN"/>
        </w:rPr>
        <w:t>市场准入门槛高：生物类似药物的市场准入门槛较高，需要通过严格的审批程序，是市场发展面临的挑战之一。</w:t>
      </w: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医疗技术进步：随着医疗技术的不断进步，生物类似药物在癌症和眼部疾病治疗领域有望获得更广泛的应用；</w:t>
      </w:r>
    </w:p>
    <w:p>
      <w:pPr>
        <w:pStyle w:val="145"/>
        <w:rPr>
          <w:lang w:eastAsia="zh-CN"/>
        </w:rPr>
      </w:pPr>
      <w:r>
        <w:rPr>
          <w:rFonts w:hint="eastAsia"/>
          <w:lang w:eastAsia="zh-CN"/>
        </w:rPr>
        <w:t>患者治疗选择增加：Aflibercept生物类似药物进入市场后，将为患者提供更多的治疗选择，并有望降低医疗费用，为市场带来增长机遇。</w:t>
      </w:r>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p>
    <w:p>
      <w:r>
        <w:t>恒州博智</w:t>
      </w:r>
      <w:r>
        <w:rPr>
          <w:rFonts w:hint="eastAsia"/>
        </w:rPr>
        <w:t>（</w:t>
      </w:r>
      <w:r>
        <w:t>QYResearch</w:t>
      </w:r>
      <w:r>
        <w:rPr>
          <w:rFonts w:hint="eastAsia"/>
        </w:rPr>
        <w:t>）调研团队最新发布的</w:t>
      </w:r>
      <w:r>
        <w:rPr>
          <w:rFonts w:hint="eastAsia"/>
          <w:b w:val="0"/>
          <w:bCs w:val="0"/>
          <w:color w:val="0000FF"/>
          <w:lang w:eastAsia="zh-CN"/>
        </w:rPr>
        <w:t>2024年全球阿柏西普生物类似药行业总体规模、主要企业国内外市场占有率及排名</w:t>
      </w:r>
      <w:r>
        <w:rPr>
          <w:rFonts w:hint="eastAsia"/>
        </w:rPr>
        <w:t>，</w:t>
      </w:r>
      <w:r>
        <w:t>本文侧重研究全球</w:t>
      </w:r>
      <w:r>
        <w:rPr>
          <w:rFonts w:hint="eastAsia"/>
          <w:b w:val="0"/>
          <w:bCs w:val="0"/>
          <w:lang w:eastAsia="zh-CN"/>
        </w:rPr>
        <w:t>阿柏西普生物类似药</w:t>
      </w:r>
      <w:r>
        <w:t>总体规模及主要厂商占有率和排名，主要统计指标包括</w:t>
      </w:r>
      <w:r>
        <w:rPr>
          <w:rFonts w:hint="eastAsia"/>
          <w:b w:val="0"/>
          <w:bCs w:val="0"/>
          <w:lang w:eastAsia="zh-CN"/>
        </w:rPr>
        <w:t>阿柏西普生物类似药</w:t>
      </w:r>
      <w:r>
        <w:t>产能、销量、销售收入、价格、市场份额及排名等，企业数据主要侧重近三年行业内主要厂商的市场销售情况。地区层面，主要分析过去五年和未来五年行业内主要生产地区和主要消费地区的规模及趋势。</w:t>
      </w:r>
    </w:p>
    <w:p>
      <w:pPr>
        <w:pStyle w:val="7"/>
      </w:pPr>
      <w:r>
        <w:rPr>
          <w:rFonts w:hint="eastAsia"/>
          <w:b w:val="0"/>
          <w:bCs w:val="0"/>
          <w:lang w:eastAsia="zh-CN"/>
        </w:rPr>
        <w:t>阿柏西普生物类似药</w:t>
      </w:r>
      <w:r>
        <w:rPr>
          <w:rFonts w:hint="eastAsia"/>
        </w:rPr>
        <w:t>报告主要研究内容以下几点：</w:t>
      </w:r>
    </w:p>
    <w:p>
      <w:r>
        <w:t>第1章：报告统计范围、所属行业、产品细分及主要的下游市场，行业现状及进入壁垒等</w:t>
      </w:r>
    </w:p>
    <w:p>
      <w:r>
        <w:t>第2章：国内外主要企业市场占有率及排名</w:t>
      </w:r>
    </w:p>
    <w:p>
      <w:r>
        <w:t>第3章：全球总体规模（产能、产量、销量、需求量、销售收入等数据，2019-2030年）</w:t>
      </w:r>
    </w:p>
    <w:p>
      <w:r>
        <w:t>第4章：全球</w:t>
      </w:r>
      <w:r>
        <w:rPr>
          <w:rFonts w:hint="eastAsia"/>
          <w:b w:val="0"/>
          <w:bCs w:val="0"/>
          <w:lang w:eastAsia="zh-CN"/>
        </w:rPr>
        <w:t>阿柏西普生物类似药</w:t>
      </w:r>
      <w:r>
        <w:t>主要地区分析，包括销量、销售收入等</w:t>
      </w:r>
    </w:p>
    <w:p>
      <w:r>
        <w:t>第5章：全球</w:t>
      </w:r>
      <w:r>
        <w:rPr>
          <w:rFonts w:hint="eastAsia"/>
          <w:b w:val="0"/>
          <w:bCs w:val="0"/>
          <w:lang w:eastAsia="zh-CN"/>
        </w:rPr>
        <w:t>阿柏西普生物类似药</w:t>
      </w:r>
      <w:r>
        <w:t>主要厂商基本情况介绍，包括公司简介、</w:t>
      </w:r>
      <w:r>
        <w:rPr>
          <w:rFonts w:hint="eastAsia"/>
          <w:b w:val="0"/>
          <w:bCs w:val="0"/>
          <w:lang w:eastAsia="zh-CN"/>
        </w:rPr>
        <w:t>阿柏西普生物类似药</w:t>
      </w:r>
      <w:r>
        <w:t>产品型号、销量、收入、价格及最新动态等</w:t>
      </w:r>
    </w:p>
    <w:p>
      <w:r>
        <w:t>第6章：全球不同产品类型</w:t>
      </w:r>
      <w:r>
        <w:rPr>
          <w:rFonts w:hint="eastAsia"/>
          <w:b w:val="0"/>
          <w:bCs w:val="0"/>
          <w:lang w:eastAsia="zh-CN"/>
        </w:rPr>
        <w:t>阿柏西普生物类似药</w:t>
      </w:r>
      <w:r>
        <w:t>销量、收入、价格及份额等</w:t>
      </w:r>
    </w:p>
    <w:p>
      <w:r>
        <w:t>第7章：全球不同应用</w:t>
      </w:r>
      <w:r>
        <w:rPr>
          <w:rFonts w:hint="eastAsia"/>
          <w:b w:val="0"/>
          <w:bCs w:val="0"/>
          <w:lang w:eastAsia="zh-CN"/>
        </w:rPr>
        <w:t>阿柏西普生物类似药</w:t>
      </w:r>
      <w:r>
        <w:t>销量、收入、价格及份额等</w:t>
      </w:r>
    </w:p>
    <w:p>
      <w:r>
        <w:t>第8章：行业发展趋势、驱动因素、行业政策等</w:t>
      </w:r>
    </w:p>
    <w:p>
      <w:r>
        <w:t>第9章：产业链、上下游分析、生产模式、销售模式及销售渠道分析等</w:t>
      </w:r>
    </w:p>
    <w:p>
      <w:pPr>
        <w:bidi w:val="0"/>
        <w:rPr>
          <w:rFonts w:hint="eastAsia"/>
          <w:lang w:val="en-US" w:eastAsia="zh-CN"/>
        </w:rPr>
      </w:pPr>
      <w:r>
        <w:rPr>
          <w:rFonts w:hint="default"/>
        </w:rPr>
        <w:t>第</w:t>
      </w:r>
      <w:r>
        <w:rPr>
          <w:rFonts w:hint="eastAsia"/>
          <w:lang w:val="en-US" w:eastAsia="zh-CN"/>
        </w:rPr>
        <w:t>10</w:t>
      </w:r>
      <w:r>
        <w:rPr>
          <w:rFonts w:hint="default"/>
        </w:rPr>
        <w:t>章：</w:t>
      </w:r>
      <w:r>
        <w:rPr>
          <w:rFonts w:hint="eastAsia"/>
          <w:lang w:val="en-US" w:eastAsia="zh-CN"/>
        </w:rPr>
        <w:t>报告结论</w:t>
      </w:r>
    </w:p>
    <w:p>
      <w:pPr>
        <w:bidi w:val="0"/>
      </w:pPr>
      <w:r>
        <w:rPr>
          <w:rFonts w:hint="default"/>
        </w:rPr>
        <w:t>第</w:t>
      </w:r>
      <w:r>
        <w:rPr>
          <w:rFonts w:hint="eastAsia"/>
          <w:lang w:val="en-US" w:eastAsia="zh-CN"/>
        </w:rPr>
        <w:t>11</w:t>
      </w:r>
      <w:r>
        <w:rPr>
          <w:rFonts w:hint="default"/>
        </w:rPr>
        <w:t>章：</w:t>
      </w:r>
      <w:r>
        <w:t>研究方法与数据来源</w:t>
      </w:r>
    </w:p>
    <w:p>
      <w:pPr>
        <w:rPr>
          <w:rFonts w:hint="eastAsia"/>
          <w:b/>
          <w:bCs/>
        </w:rPr>
      </w:pPr>
    </w:p>
    <w:p>
      <w:r>
        <w:rPr>
          <w:rFonts w:hint="eastAsia"/>
          <w:b/>
          <w:bCs/>
        </w:rPr>
        <w:t>竞争分析：</w:t>
      </w:r>
      <w:r>
        <w:rPr>
          <w:rFonts w:hint="eastAsia"/>
        </w:rPr>
        <w:t>主要企业情况、新入企业、收购、并购和扩张、市场份额、机遇和挑战等</w:t>
      </w:r>
    </w:p>
    <w:p>
      <w:r>
        <w:rPr>
          <w:rFonts w:hint="eastAsia"/>
          <w:b/>
          <w:bCs/>
        </w:rPr>
        <w:t>行业分析：</w:t>
      </w:r>
      <w:r>
        <w:rPr>
          <w:rFonts w:hint="eastAsia"/>
        </w:rPr>
        <w:t>原材料、市场应用、产品种类、市场需求、市场供给,下游市场分析、供应链分析等</w:t>
      </w:r>
    </w:p>
    <w:p>
      <w:r>
        <w:rPr>
          <w:rFonts w:hint="eastAsia"/>
          <w:b/>
          <w:bCs/>
        </w:rPr>
        <w:t>市场规模：</w:t>
      </w:r>
      <w:r>
        <w:rPr>
          <w:rFonts w:hint="eastAsia"/>
        </w:rPr>
        <w:t>产能、产量、销售、产值、价格、成本、利润等</w:t>
      </w:r>
    </w:p>
    <w:p>
      <w:r>
        <w:rPr>
          <w:rFonts w:hint="eastAsia"/>
          <w:b/>
          <w:bCs/>
        </w:rPr>
        <w:t>定制信息：</w:t>
      </w:r>
      <w:r>
        <w:rPr>
          <w:rFonts w:hint="eastAsia"/>
        </w:rPr>
        <w:t>我们可以提供定制的调查和信息，以满足客户的需要</w:t>
      </w:r>
    </w:p>
    <w:p/>
    <w:p>
      <w:r>
        <w:rPr>
          <w:rFonts w:hint="eastAsia"/>
          <w:b/>
          <w:bCs/>
        </w:rPr>
        <w:t>我们通过丰富的专家资源、完备的数据库、专业的研究团队、精准完善的调查分析为您提供深入的市场调研、销售数据、市场环境分析、市场发展预测...为确保市场调研的准确性，我们所有的信息均通过多重验证审核</w:t>
      </w:r>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7EE"/>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2C5"/>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422"/>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B25"/>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492"/>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2FCE"/>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DAD"/>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864"/>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636"/>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1B7"/>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9BA"/>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BED"/>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07C"/>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2AA12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autoRedefine/>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autoRedefine/>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autoRedefine/>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autoRedefine/>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autoRedefine/>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image" Target="media/image4.png"/><Relationship Id="rId11" Type="http://schemas.openxmlformats.org/officeDocument/2006/relationships/chart" Target="charts/chart3.xml"/><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5" Type="http://schemas.microsoft.com/office/2011/relationships/chartColorStyle" Target="colors6.xml"/><Relationship Id="rId4" Type="http://schemas.microsoft.com/office/2011/relationships/chartStyle" Target="style6.xml"/><Relationship Id="rId3" Type="http://schemas.openxmlformats.org/officeDocument/2006/relationships/chartUserShapes" Target="../drawings/drawing1.xml"/><Relationship Id="rId2" Type="http://schemas.openxmlformats.org/officeDocument/2006/relationships/themeOverride" Target="../theme/themeOverride3.xml"/><Relationship Id="rId1" Type="http://schemas.openxmlformats.org/officeDocument/2006/relationships/oleObject" Target="file:///C:\Users\&#27946;&#25991;&#30355;\Desktop\&#19968;&#26376;&#35266;&#28857;\&#25968;&#25454;&#34920;\Aflibercept%20Biosimilars.xlsx" TargetMode="External"/></Relationships>
</file>

<file path=word/charts/_rels/chart2.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themeOverride" Target="../theme/themeOverride1.xml"/><Relationship Id="rId1" Type="http://schemas.openxmlformats.org/officeDocument/2006/relationships/oleObject" Target="file:///C:\Users\&#27946;&#25991;&#30355;\Desktop\&#19968;&#26376;&#35266;&#28857;\&#25968;&#25454;&#34920;\Aflibercept%20Biosimilars.xlsx" TargetMode="External"/></Relationships>
</file>

<file path=word/charts/_rels/chart3.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themeOverride" Target="../theme/themeOverride2.xml"/><Relationship Id="rId1" Type="http://schemas.openxmlformats.org/officeDocument/2006/relationships/oleObject" Target="file:///C:\Users\&#27946;&#25991;&#30355;\Desktop\&#19968;&#26376;&#35266;&#28857;\&#25968;&#25454;&#34920;\Aflibercept%20Biosimilars.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27946;&#25991;&#30355;\Desktop\&#19968;&#26376;&#35266;&#28857;\&#25968;&#25454;&#34920;\Aflibercept%20Biosimilars.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27946;&#25991;&#30355;\Desktop\&#19968;&#26376;&#35266;&#28857;\&#25968;&#25454;&#34920;\Aflibercept%20Biosimilars.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27946;&#25991;&#30355;\Desktop\&#19968;&#26376;&#35266;&#28857;\&#25968;&#25454;&#34920;\Aflibercept%20Biosimilar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6843.68</c:v>
                </c:pt>
                <c:pt idx="1">
                  <c:v>9869.64</c:v>
                </c:pt>
                <c:pt idx="2">
                  <c:v>10399.94</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400" b="0" i="0" u="none" strike="noStrike" kern="1200" spc="0" baseline="0">
                <a:solidFill>
                  <a:sysClr val="windowText" lastClr="000000"/>
                </a:solidFill>
                <a:latin typeface="+mn-lt"/>
                <a:ea typeface="+mn-ea"/>
                <a:cs typeface="+mn-cs"/>
              </a:defRPr>
            </a:pPr>
            <a:r>
              <a:rPr lang="zh-CN"/>
              <a:t>全球市场主要企业排名</a:t>
            </a:r>
            <a:endParaRPr lang="en-US"/>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Lbls>
            <c:delete val="1"/>
          </c:dLbls>
          <c:cat>
            <c:strRef>
              <c:f>企业排序!$F$2:$F$25</c:f>
              <c:strCache>
                <c:ptCount val="4"/>
                <c:pt idx="0">
                  <c:v>Regeneron Pharmaceuticals</c:v>
                </c:pt>
                <c:pt idx="1">
                  <c:v>Bayer HealthCare</c:v>
                </c:pt>
                <c:pt idx="2">
                  <c:v>Kanghong Pharma</c:v>
                </c:pt>
                <c:pt idx="3">
                  <c:v>Biocon</c:v>
                </c:pt>
              </c:strCache>
            </c:strRef>
          </c:cat>
          <c:val>
            <c:numRef>
              <c:f>企业排序!$G$2:$G$25</c:f>
              <c:numCache>
                <c:formatCode>#,##0.00_ </c:formatCode>
                <c:ptCount val="4"/>
                <c:pt idx="0">
                  <c:v>7639.71</c:v>
                </c:pt>
                <c:pt idx="1">
                  <c:v>2007.7</c:v>
                </c:pt>
                <c:pt idx="2">
                  <c:v>222.23</c:v>
                </c:pt>
                <c:pt idx="3">
                  <c:v>0</c:v>
                </c:pt>
              </c:numCache>
            </c:numRef>
          </c:val>
        </c:ser>
        <c:dLbls>
          <c:showLegendKey val="0"/>
          <c:showVal val="0"/>
          <c:showCatName val="0"/>
          <c:showSerName val="0"/>
          <c:showPercent val="0"/>
          <c:showBubbleSize val="0"/>
        </c:dLbls>
        <c:gapWidth val="7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solidFill>
            <a:sysClr val="windowText" lastClr="000000"/>
          </a:solidFill>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2mg</c:v>
                </c:pt>
              </c:strCache>
            </c:strRef>
          </c:tx>
          <c:spPr>
            <a:solidFill>
              <a:srgbClr val="002060"/>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分类!$B$2:$M$2</c:f>
              <c:numCache>
                <c:formatCode>#,##0_);[Red]\(#,##0\)</c:formatCode>
                <c:ptCount val="12"/>
                <c:pt idx="0">
                  <c:v>6843.68</c:v>
                </c:pt>
                <c:pt idx="1">
                  <c:v>7666.19</c:v>
                </c:pt>
                <c:pt idx="2">
                  <c:v>7914.2</c:v>
                </c:pt>
                <c:pt idx="3">
                  <c:v>9478.34</c:v>
                </c:pt>
                <c:pt idx="4">
                  <c:v>9869.64</c:v>
                </c:pt>
                <c:pt idx="5">
                  <c:v>9558.48</c:v>
                </c:pt>
                <c:pt idx="6">
                  <c:v>10255.88</c:v>
                </c:pt>
                <c:pt idx="7">
                  <c:v>10781.14</c:v>
                </c:pt>
                <c:pt idx="8">
                  <c:v>11026.71</c:v>
                </c:pt>
                <c:pt idx="9">
                  <c:v>9631.58</c:v>
                </c:pt>
                <c:pt idx="10">
                  <c:v>9721.69</c:v>
                </c:pt>
                <c:pt idx="11">
                  <c:v>9736.81</c:v>
                </c:pt>
              </c:numCache>
            </c:numRef>
          </c:val>
        </c:ser>
        <c:ser>
          <c:idx val="1"/>
          <c:order val="1"/>
          <c:tx>
            <c:strRef>
              <c:f>分类!$A$3</c:f>
              <c:strCache>
                <c:ptCount val="1"/>
                <c:pt idx="0">
                  <c:v>8mg</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分类!$B$3:$M$3</c:f>
              <c:numCache>
                <c:formatCode>#,##0_);[Red]\(#,##0\)</c:formatCode>
                <c:ptCount val="12"/>
                <c:pt idx="0">
                  <c:v>0</c:v>
                </c:pt>
                <c:pt idx="1">
                  <c:v>0</c:v>
                </c:pt>
                <c:pt idx="2">
                  <c:v>0</c:v>
                </c:pt>
                <c:pt idx="3">
                  <c:v>0</c:v>
                </c:pt>
                <c:pt idx="4">
                  <c:v>0</c:v>
                </c:pt>
                <c:pt idx="5">
                  <c:v>1.34</c:v>
                </c:pt>
                <c:pt idx="6">
                  <c:v>9.75</c:v>
                </c:pt>
                <c:pt idx="7">
                  <c:v>121.31</c:v>
                </c:pt>
                <c:pt idx="8">
                  <c:v>185.68</c:v>
                </c:pt>
                <c:pt idx="9">
                  <c:v>234.9</c:v>
                </c:pt>
                <c:pt idx="10">
                  <c:v>394.53</c:v>
                </c:pt>
                <c:pt idx="11">
                  <c:v>663.13</c:v>
                </c:pt>
              </c:numCache>
            </c:numRef>
          </c:val>
        </c:ser>
        <c:ser>
          <c:idx val="2"/>
          <c:order val="2"/>
          <c:tx>
            <c:strRef>
              <c:f>分类!$A$4</c:f>
              <c:strCache>
                <c:ptCount val="1"/>
                <c:pt idx="0">
                  <c:v/>
                </c:pt>
              </c:strCache>
            </c:strRef>
          </c:tx>
          <c:spPr>
            <a:solidFill>
              <a:schemeClr val="accent6">
                <a:lumMod val="75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分类!$B$4:$M$4</c:f>
            </c:numRef>
          </c:val>
        </c:ser>
        <c:ser>
          <c:idx val="3"/>
          <c:order val="3"/>
          <c:tx>
            <c:strRef>
              <c:f>分类!$A$5</c:f>
              <c:strCache>
                <c:ptCount val="1"/>
                <c:pt idx="0">
                  <c:v/>
                </c:pt>
              </c:strCache>
            </c:strRef>
          </c:tx>
          <c:spPr>
            <a:solidFill>
              <a:schemeClr val="tx2">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分类!$B$5:$M$5</c:f>
            </c:numRef>
          </c:val>
        </c:ser>
        <c:ser>
          <c:idx val="4"/>
          <c:order val="4"/>
          <c:tx>
            <c:strRef>
              <c:f>分类!$A$6</c:f>
              <c:strCache>
                <c:ptCount val="1"/>
                <c:pt idx="0">
                  <c:v/>
                </c:pt>
              </c:strCache>
            </c:strRef>
          </c:tx>
          <c:spPr>
            <a:solidFill>
              <a:schemeClr val="accent1">
                <a:lumMod val="75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分类!$B$6:$M$6</c:f>
            </c:numRef>
          </c:val>
        </c:ser>
        <c:ser>
          <c:idx val="5"/>
          <c:order val="5"/>
          <c:tx>
            <c:strRef>
              <c:f>分类!$A$7</c:f>
              <c:strCache>
                <c:ptCount val="1"/>
                <c:pt idx="0">
                  <c:v/>
                </c:pt>
              </c:strCache>
            </c:strRef>
          </c:tx>
          <c:spPr>
            <a:solidFill>
              <a:schemeClr val="accent4">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分类!$B$7:$M$7</c:f>
            </c:numRef>
          </c:val>
        </c:ser>
        <c:ser>
          <c:idx val="6"/>
          <c:order val="6"/>
          <c:tx>
            <c:strRef>
              <c:f>分类!$A$8</c:f>
              <c:strCache>
                <c:ptCount val="1"/>
                <c:pt idx="0">
                  <c:v/>
                </c:pt>
              </c:strCache>
            </c:strRef>
          </c:tx>
          <c:spPr>
            <a:solidFill>
              <a:schemeClr val="accent2">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分类!$B$8:$M$8</c:f>
            </c:numRef>
          </c:val>
        </c:ser>
        <c:ser>
          <c:idx val="7"/>
          <c:order val="7"/>
          <c:tx>
            <c:strRef>
              <c:f>分类!$A$9</c:f>
              <c:strCache>
                <c:ptCount val="1"/>
                <c:pt idx="0">
                  <c:v/>
                </c:pt>
              </c:strCache>
            </c:strRef>
          </c:tx>
          <c:spPr>
            <a:solidFill>
              <a:schemeClr val="bg2">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分类!$B$9:$M$9</c:f>
            </c:numRef>
          </c:val>
        </c:ser>
        <c:ser>
          <c:idx val="8"/>
          <c:order val="8"/>
          <c:tx>
            <c:strRef>
              <c:f>分类!$A$10</c:f>
              <c:strCache>
                <c:ptCount val="1"/>
                <c:pt idx="0">
                  <c:v/>
                </c:pt>
              </c:strCache>
            </c:strRef>
          </c:tx>
          <c:spPr>
            <a:solidFill>
              <a:schemeClr val="accent5">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分类!$A$11</c:f>
              <c:strCache>
                <c:ptCount val="1"/>
                <c:pt idx="0">
                  <c:v>Total</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分类!$B$11:$M$11</c:f>
              <c:numCache>
                <c:formatCode>#,##0_);[Red]\(#,##0\)</c:formatCode>
                <c:ptCount val="12"/>
                <c:pt idx="0">
                  <c:v>6843.68</c:v>
                </c:pt>
                <c:pt idx="1">
                  <c:v>7666.19</c:v>
                </c:pt>
                <c:pt idx="2">
                  <c:v>7914.2</c:v>
                </c:pt>
                <c:pt idx="3">
                  <c:v>9478.34</c:v>
                </c:pt>
                <c:pt idx="4">
                  <c:v>9869.64</c:v>
                </c:pt>
                <c:pt idx="5">
                  <c:v>9559.82</c:v>
                </c:pt>
                <c:pt idx="6">
                  <c:v>10265.63</c:v>
                </c:pt>
                <c:pt idx="7">
                  <c:v>10902.45</c:v>
                </c:pt>
                <c:pt idx="8">
                  <c:v>11212.39</c:v>
                </c:pt>
                <c:pt idx="9">
                  <c:v>9866.48</c:v>
                </c:pt>
                <c:pt idx="10">
                  <c:v>10116.22</c:v>
                </c:pt>
                <c:pt idx="11">
                  <c:v>10399.94</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solidFill>
            <a:sysClr val="windowText" lastClr="000000"/>
          </a:solidFill>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Hospitals</c:v>
                </c:pt>
              </c:strCache>
            </c:strRef>
          </c:tx>
          <c:spPr>
            <a:solidFill>
              <a:srgbClr val="002060"/>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应用!$B$2:$M$2</c:f>
              <c:numCache>
                <c:formatCode>#,##0_);[Red]\(#,##0\)</c:formatCode>
                <c:ptCount val="12"/>
                <c:pt idx="0">
                  <c:v>4910.66</c:v>
                </c:pt>
                <c:pt idx="1">
                  <c:v>5530.8</c:v>
                </c:pt>
                <c:pt idx="2">
                  <c:v>5741.42</c:v>
                </c:pt>
                <c:pt idx="3">
                  <c:v>6704.11</c:v>
                </c:pt>
                <c:pt idx="4">
                  <c:v>7013.42</c:v>
                </c:pt>
                <c:pt idx="5">
                  <c:v>6888.02</c:v>
                </c:pt>
                <c:pt idx="6">
                  <c:v>7445.83</c:v>
                </c:pt>
                <c:pt idx="7">
                  <c:v>7958.88</c:v>
                </c:pt>
                <c:pt idx="8">
                  <c:v>8244.55</c:v>
                </c:pt>
                <c:pt idx="9">
                  <c:v>7238.54</c:v>
                </c:pt>
                <c:pt idx="10">
                  <c:v>7377.25</c:v>
                </c:pt>
                <c:pt idx="11">
                  <c:v>7553.64</c:v>
                </c:pt>
              </c:numCache>
            </c:numRef>
          </c:val>
        </c:ser>
        <c:ser>
          <c:idx val="1"/>
          <c:order val="1"/>
          <c:tx>
            <c:strRef>
              <c:f>应用!$A$3</c:f>
              <c:strCache>
                <c:ptCount val="1"/>
                <c:pt idx="0">
                  <c:v>Clinics</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应用!$B$3:$M$3</c:f>
              <c:numCache>
                <c:formatCode>#,##0_);[Red]\(#,##0\)</c:formatCode>
                <c:ptCount val="12"/>
                <c:pt idx="0">
                  <c:v>1317.23</c:v>
                </c:pt>
                <c:pt idx="1">
                  <c:v>1451.49</c:v>
                </c:pt>
                <c:pt idx="2">
                  <c:v>1472.85</c:v>
                </c:pt>
                <c:pt idx="3">
                  <c:v>1953.63</c:v>
                </c:pt>
                <c:pt idx="4">
                  <c:v>1997.46</c:v>
                </c:pt>
                <c:pt idx="5">
                  <c:v>1855.78</c:v>
                </c:pt>
                <c:pt idx="6">
                  <c:v>1941.72</c:v>
                </c:pt>
                <c:pt idx="7">
                  <c:v>2055.2</c:v>
                </c:pt>
                <c:pt idx="8">
                  <c:v>2019.81</c:v>
                </c:pt>
                <c:pt idx="9">
                  <c:v>1805.74</c:v>
                </c:pt>
                <c:pt idx="10">
                  <c:v>1900.9</c:v>
                </c:pt>
                <c:pt idx="11">
                  <c:v>2008.51</c:v>
                </c:pt>
              </c:numCache>
            </c:numRef>
          </c:val>
        </c:ser>
        <c:ser>
          <c:idx val="2"/>
          <c:order val="2"/>
          <c:tx>
            <c:strRef>
              <c:f>应用!$A$4</c:f>
              <c:strCache>
                <c:ptCount val="1"/>
                <c:pt idx="0">
                  <c:v>Others</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应用!$B$4:$M$4</c:f>
              <c:numCache>
                <c:formatCode>#,##0_);[Red]\(#,##0\)</c:formatCode>
                <c:ptCount val="12"/>
                <c:pt idx="0">
                  <c:v>615.79</c:v>
                </c:pt>
                <c:pt idx="1">
                  <c:v>683.9</c:v>
                </c:pt>
                <c:pt idx="2">
                  <c:v>699.93</c:v>
                </c:pt>
                <c:pt idx="3">
                  <c:v>820.6</c:v>
                </c:pt>
                <c:pt idx="4">
                  <c:v>858.76</c:v>
                </c:pt>
                <c:pt idx="5">
                  <c:v>816.02</c:v>
                </c:pt>
                <c:pt idx="6">
                  <c:v>878.08</c:v>
                </c:pt>
                <c:pt idx="7">
                  <c:v>888.37</c:v>
                </c:pt>
                <c:pt idx="8">
                  <c:v>948.03</c:v>
                </c:pt>
                <c:pt idx="9">
                  <c:v>822.2</c:v>
                </c:pt>
                <c:pt idx="10">
                  <c:v>838.07</c:v>
                </c:pt>
                <c:pt idx="11">
                  <c:v>837.79</c:v>
                </c:pt>
              </c:numCache>
            </c:numRef>
          </c:val>
        </c:ser>
        <c:ser>
          <c:idx val="3"/>
          <c:order val="3"/>
          <c:tx>
            <c:strRef>
              <c:f>应用!$A$5</c:f>
              <c:strCache>
                <c:ptCount val="1"/>
                <c:pt idx="0">
                  <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应用!$B$5:$M$5</c:f>
            </c:numRef>
          </c:val>
        </c:ser>
        <c:ser>
          <c:idx val="4"/>
          <c:order val="4"/>
          <c:tx>
            <c:strRef>
              <c:f>应用!$A$6</c:f>
              <c:strCache>
                <c:ptCount val="1"/>
                <c:pt idx="0">
                  <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应用!$B$6:$M$6</c:f>
            </c:numRef>
          </c:val>
        </c:ser>
        <c:ser>
          <c:idx val="5"/>
          <c:order val="5"/>
          <c:tx>
            <c:strRef>
              <c:f>应用!$A$7</c:f>
              <c:strCache>
                <c:ptCount val="1"/>
                <c:pt idx="0">
                  <c:v/>
                </c:pt>
              </c:strCache>
            </c:strRef>
          </c:tx>
          <c:spPr>
            <a:solidFill>
              <a:schemeClr val="accent4">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应用!$B$7:$M$7</c:f>
            </c:numRef>
          </c:val>
        </c:ser>
        <c:ser>
          <c:idx val="6"/>
          <c:order val="6"/>
          <c:tx>
            <c:strRef>
              <c:f>应用!$A$8</c:f>
              <c:strCache>
                <c:ptCount val="1"/>
                <c:pt idx="0">
                  <c:v/>
                </c:pt>
              </c:strCache>
            </c:strRef>
          </c:tx>
          <c:spPr>
            <a:solidFill>
              <a:schemeClr val="accent2">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应用!$B$8:$M$8</c:f>
            </c:numRef>
          </c:val>
        </c:ser>
        <c:ser>
          <c:idx val="7"/>
          <c:order val="7"/>
          <c:tx>
            <c:strRef>
              <c:f>应用!$A$9</c:f>
              <c:strCache>
                <c:ptCount val="1"/>
                <c:pt idx="0">
                  <c:v/>
                </c:pt>
              </c:strCache>
            </c:strRef>
          </c:tx>
          <c:spPr>
            <a:solidFill>
              <a:schemeClr val="bg2">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应用!$B$9:$M$9</c:f>
            </c:numRef>
          </c:val>
        </c:ser>
        <c:ser>
          <c:idx val="8"/>
          <c:order val="8"/>
          <c:tx>
            <c:strRef>
              <c:f>应用!$A$10</c:f>
              <c:strCache>
                <c:ptCount val="1"/>
                <c:pt idx="0">
                  <c:v/>
                </c:pt>
              </c:strCache>
            </c:strRef>
          </c:tx>
          <c:spPr>
            <a:solidFill>
              <a:schemeClr val="accent5">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Total</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应用!$B$11:$M$11</c:f>
              <c:numCache>
                <c:formatCode>#,##0_);[Red]\(#,##0\)</c:formatCode>
                <c:ptCount val="12"/>
                <c:pt idx="0">
                  <c:v>6843.68</c:v>
                </c:pt>
                <c:pt idx="1">
                  <c:v>7666.19</c:v>
                </c:pt>
                <c:pt idx="2">
                  <c:v>7914.2</c:v>
                </c:pt>
                <c:pt idx="3">
                  <c:v>9478.34</c:v>
                </c:pt>
                <c:pt idx="4">
                  <c:v>9869.64</c:v>
                </c:pt>
                <c:pt idx="5">
                  <c:v>9559.82</c:v>
                </c:pt>
                <c:pt idx="6">
                  <c:v>10265.63</c:v>
                </c:pt>
                <c:pt idx="7">
                  <c:v>10902.45</c:v>
                </c:pt>
                <c:pt idx="8">
                  <c:v>11212.39</c:v>
                </c:pt>
                <c:pt idx="9">
                  <c:v>9866.48</c:v>
                </c:pt>
                <c:pt idx="10">
                  <c:v>10116.22</c:v>
                </c:pt>
                <c:pt idx="11">
                  <c:v>10399.94</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solidFill>
            <a:sysClr val="windowText" lastClr="000000"/>
          </a:solidFill>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North America</c:v>
                </c:pt>
              </c:strCache>
            </c:strRef>
          </c:tx>
          <c:spPr>
            <a:solidFill>
              <a:srgbClr val="00206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'地区-消费'!$B$2:$M$2</c:f>
              <c:numCache>
                <c:formatCode>#,##0_);[Red]\(#,##0\)</c:formatCode>
                <c:ptCount val="12"/>
                <c:pt idx="0">
                  <c:v>5414.99</c:v>
                </c:pt>
                <c:pt idx="1">
                  <c:v>6070</c:v>
                </c:pt>
                <c:pt idx="2">
                  <c:v>6113</c:v>
                </c:pt>
                <c:pt idx="3">
                  <c:v>7200.6</c:v>
                </c:pt>
                <c:pt idx="4">
                  <c:v>7639.71</c:v>
                </c:pt>
                <c:pt idx="5">
                  <c:v>7626</c:v>
                </c:pt>
                <c:pt idx="6">
                  <c:v>8217.47</c:v>
                </c:pt>
                <c:pt idx="7">
                  <c:v>8739.16</c:v>
                </c:pt>
                <c:pt idx="8">
                  <c:v>8994.78</c:v>
                </c:pt>
                <c:pt idx="9">
                  <c:v>7984.48</c:v>
                </c:pt>
                <c:pt idx="10">
                  <c:v>8214.8</c:v>
                </c:pt>
                <c:pt idx="11">
                  <c:v>8459.36</c:v>
                </c:pt>
              </c:numCache>
            </c:numRef>
          </c:val>
        </c:ser>
        <c:ser>
          <c:idx val="1"/>
          <c:order val="1"/>
          <c:tx>
            <c:strRef>
              <c:f>'地区-消费'!$A$3</c:f>
              <c:strCache>
                <c:ptCount val="1"/>
                <c:pt idx="0">
                  <c:v>Europe</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'地区-消费'!$B$3:$M$3</c:f>
              <c:numCache>
                <c:formatCode>#,##0_);[Red]\(#,##0\)</c:formatCode>
                <c:ptCount val="12"/>
                <c:pt idx="0">
                  <c:v>1107.87</c:v>
                </c:pt>
                <c:pt idx="1">
                  <c:v>1190.67</c:v>
                </c:pt>
                <c:pt idx="2">
                  <c:v>1353.22</c:v>
                </c:pt>
                <c:pt idx="3">
                  <c:v>1727.28</c:v>
                </c:pt>
                <c:pt idx="4">
                  <c:v>1753.49</c:v>
                </c:pt>
                <c:pt idx="5">
                  <c:v>1467.3</c:v>
                </c:pt>
                <c:pt idx="6">
                  <c:v>1578.95</c:v>
                </c:pt>
                <c:pt idx="7">
                  <c:v>1689.79</c:v>
                </c:pt>
                <c:pt idx="8">
                  <c:v>1769.59</c:v>
                </c:pt>
                <c:pt idx="9">
                  <c:v>1467.92</c:v>
                </c:pt>
                <c:pt idx="10">
                  <c:v>1495.67</c:v>
                </c:pt>
                <c:pt idx="11">
                  <c:v>1537.67</c:v>
                </c:pt>
              </c:numCache>
            </c:numRef>
          </c:val>
        </c:ser>
        <c:ser>
          <c:idx val="2"/>
          <c:order val="2"/>
          <c:tx>
            <c:strRef>
              <c:f>'地区-消费'!$A$4</c:f>
              <c:strCache>
                <c:ptCount val="1"/>
                <c:pt idx="0">
                  <c:v>Asia-Pacific </c:v>
                </c:pt>
              </c:strCache>
            </c:strRef>
          </c:tx>
          <c:spPr>
            <a:solidFill>
              <a:srgbClr val="0070C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'地区-消费'!$B$4:$M$4</c:f>
              <c:numCache>
                <c:formatCode>#,##0_);[Red]\(#,##0\)</c:formatCode>
                <c:ptCount val="12"/>
                <c:pt idx="0">
                  <c:v>301.28</c:v>
                </c:pt>
                <c:pt idx="1">
                  <c:v>374.47</c:v>
                </c:pt>
                <c:pt idx="2">
                  <c:v>411.8</c:v>
                </c:pt>
                <c:pt idx="3">
                  <c:v>510.46</c:v>
                </c:pt>
                <c:pt idx="4">
                  <c:v>436.24</c:v>
                </c:pt>
                <c:pt idx="5">
                  <c:v>440.51</c:v>
                </c:pt>
                <c:pt idx="6">
                  <c:v>444.88</c:v>
                </c:pt>
                <c:pt idx="7">
                  <c:v>449.05</c:v>
                </c:pt>
                <c:pt idx="8">
                  <c:v>427.15</c:v>
                </c:pt>
                <c:pt idx="9">
                  <c:v>395.66</c:v>
                </c:pt>
                <c:pt idx="10">
                  <c:v>387.63</c:v>
                </c:pt>
                <c:pt idx="11">
                  <c:v>384.96</c:v>
                </c:pt>
              </c:numCache>
            </c:numRef>
          </c:val>
        </c:ser>
        <c:ser>
          <c:idx val="3"/>
          <c:order val="3"/>
          <c:tx>
            <c:strRef>
              <c:f>'地区-消费'!$A$5</c:f>
              <c:strCache>
                <c:ptCount val="1"/>
                <c:pt idx="0">
                  <c:v>Latin America</c:v>
                </c:pt>
              </c:strCache>
            </c:strRef>
          </c:tx>
          <c:spPr>
            <a:solidFill>
              <a:srgbClr val="FFC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'地区-消费'!$B$5:$M$5</c:f>
              <c:numCache>
                <c:formatCode>#,##0_);[Red]\(#,##0\)</c:formatCode>
                <c:ptCount val="12"/>
                <c:pt idx="0">
                  <c:v>11.83</c:v>
                </c:pt>
                <c:pt idx="1">
                  <c:v>12.17</c:v>
                </c:pt>
                <c:pt idx="2">
                  <c:v>12.87</c:v>
                </c:pt>
                <c:pt idx="3">
                  <c:v>14.74</c:v>
                </c:pt>
                <c:pt idx="4">
                  <c:v>14.24</c:v>
                </c:pt>
                <c:pt idx="5">
                  <c:v>12.26</c:v>
                </c:pt>
                <c:pt idx="6">
                  <c:v>12.37</c:v>
                </c:pt>
                <c:pt idx="7">
                  <c:v>12.4</c:v>
                </c:pt>
                <c:pt idx="8">
                  <c:v>10.6</c:v>
                </c:pt>
                <c:pt idx="9">
                  <c:v>9.5</c:v>
                </c:pt>
                <c:pt idx="10">
                  <c:v>9.31</c:v>
                </c:pt>
                <c:pt idx="11">
                  <c:v>9.19</c:v>
                </c:pt>
              </c:numCache>
            </c:numRef>
          </c:val>
        </c:ser>
        <c:ser>
          <c:idx val="4"/>
          <c:order val="4"/>
          <c:tx>
            <c:strRef>
              <c:f>'地区-消费'!$A$6</c:f>
              <c:strCache>
                <c:ptCount val="1"/>
                <c:pt idx="0">
                  <c:v>Middle East and Africa</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'地区-消费'!$B$6:$M$6</c:f>
              <c:numCache>
                <c:formatCode>#,##0_);[Red]\(#,##0\)</c:formatCode>
                <c:ptCount val="12"/>
                <c:pt idx="0">
                  <c:v>7.71</c:v>
                </c:pt>
                <c:pt idx="1">
                  <c:v>18.88</c:v>
                </c:pt>
                <c:pt idx="2">
                  <c:v>23.31</c:v>
                </c:pt>
                <c:pt idx="3">
                  <c:v>25.26</c:v>
                </c:pt>
                <c:pt idx="4">
                  <c:v>25.96</c:v>
                </c:pt>
                <c:pt idx="5">
                  <c:v>13.75</c:v>
                </c:pt>
                <c:pt idx="6">
                  <c:v>11.96</c:v>
                </c:pt>
                <c:pt idx="7">
                  <c:v>12.05</c:v>
                </c:pt>
                <c:pt idx="8">
                  <c:v>10.27</c:v>
                </c:pt>
                <c:pt idx="9">
                  <c:v>8.92</c:v>
                </c:pt>
                <c:pt idx="10">
                  <c:v>8.81</c:v>
                </c:pt>
                <c:pt idx="11">
                  <c:v>8.76</c:v>
                </c:pt>
              </c:numCache>
            </c:numRef>
          </c:val>
        </c:ser>
        <c:ser>
          <c:idx val="5"/>
          <c:order val="5"/>
          <c:tx>
            <c:strRef>
              <c:f>'地区-消费'!$A$7</c:f>
              <c:strCache>
                <c:ptCount val="1"/>
                <c:pt idx="0">
                  <c:v/>
                </c:pt>
              </c:strCache>
            </c:strRef>
          </c:tx>
          <c:spPr>
            <a:solidFill>
              <a:srgbClr val="C00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'地区-消费'!$B$7:$M$7</c:f>
            </c:numRef>
          </c:val>
        </c:ser>
        <c:ser>
          <c:idx val="6"/>
          <c:order val="6"/>
          <c:tx>
            <c:strRef>
              <c:f>'地区-消费'!$A$8</c:f>
              <c:strCache>
                <c:ptCount val="1"/>
                <c:pt idx="0">
                  <c:v/>
                </c:pt>
              </c:strCache>
            </c:strRef>
          </c:tx>
          <c:spPr>
            <a:solidFill>
              <a:srgbClr val="7030A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'地区-消费'!$B$8:$M$8</c:f>
            </c:numRef>
          </c:val>
        </c:ser>
        <c:ser>
          <c:idx val="7"/>
          <c:order val="7"/>
          <c:tx>
            <c:strRef>
              <c:f>'地区-消费'!$A$9</c:f>
              <c:strCache>
                <c:ptCount val="1"/>
                <c:pt idx="0">
                  <c:v/>
                </c:pt>
              </c:strCache>
            </c:strRef>
          </c:tx>
          <c:spPr>
            <a:solidFill>
              <a:schemeClr val="tx2">
                <a:lumMod val="60000"/>
                <a:lumOff val="4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'地区-消费'!$B$9:$M$9</c:f>
            </c:numRef>
          </c:val>
        </c:ser>
        <c:ser>
          <c:idx val="8"/>
          <c:order val="8"/>
          <c:tx>
            <c:strRef>
              <c:f>'地区-消费'!$A$10</c:f>
              <c:strCache>
                <c:ptCount val="1"/>
                <c:pt idx="0">
                  <c:v/>
                </c:pt>
              </c:strCache>
            </c:strRef>
          </c:tx>
          <c:spPr>
            <a:solidFill>
              <a:schemeClr val="accent6">
                <a:lumMod val="7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'地区-消费'!$B$10:$M$10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solidFill>
            <a:sysClr val="windowText" lastClr="000000"/>
          </a:solidFill>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ysClr val="windowText" lastClr="000000"/>
                </a:solidFill>
                <a:latin typeface="+mn-lt"/>
                <a:ea typeface="+mn-ea"/>
                <a:cs typeface="+mn-cs"/>
              </a:defRPr>
            </a:pPr>
            <a:r>
              <a:rPr lang="en-US"/>
              <a:t>Market Size By Region, 2018 Vs 2022 VS 2029</a:t>
            </a:r>
            <a:endParaRPr lang="zh-CN"/>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2018</c:v>
                </c:pt>
              </c:strCache>
            </c:strRef>
          </c:tx>
          <c:spPr>
            <a:solidFill>
              <a:srgbClr val="FFC000"/>
            </a:solidFill>
            <a:ln>
              <a:noFill/>
            </a:ln>
            <a:effectLst/>
          </c:spPr>
          <c:invertIfNegative val="0"/>
          <c:dLbls>
            <c:delete val="1"/>
          </c:dLbls>
          <c:cat>
            <c:strRef>
              <c:f>'地区-消费'!$AD$2:$AD$10</c:f>
              <c:strCache>
                <c:ptCount val="5"/>
                <c:pt idx="0">
                  <c:v>North America</c:v>
                </c:pt>
                <c:pt idx="1">
                  <c:v>Europe</c:v>
                </c:pt>
                <c:pt idx="2">
                  <c:v>Asia-Pacific </c:v>
                </c:pt>
                <c:pt idx="3">
                  <c:v>Latin America</c:v>
                </c:pt>
                <c:pt idx="4">
                  <c:v>Middle East and Africa</c:v>
                </c:pt>
              </c:strCache>
            </c:strRef>
          </c:cat>
          <c:val>
            <c:numRef>
              <c:f>'地区-消费'!$AE$2:$AE$10</c:f>
              <c:numCache>
                <c:formatCode>#,##0_);[Red]\(#,##0\)</c:formatCode>
                <c:ptCount val="5"/>
                <c:pt idx="0">
                  <c:v>5414.99</c:v>
                </c:pt>
                <c:pt idx="1">
                  <c:v>1107.87</c:v>
                </c:pt>
                <c:pt idx="2">
                  <c:v>301.28</c:v>
                </c:pt>
                <c:pt idx="3">
                  <c:v>11.83</c:v>
                </c:pt>
                <c:pt idx="4">
                  <c:v>7.71</c:v>
                </c:pt>
              </c:numCache>
            </c:numRef>
          </c:val>
        </c:ser>
        <c:ser>
          <c:idx val="1"/>
          <c:order val="1"/>
          <c:tx>
            <c:strRef>
              <c:f>'地区-消费'!$AF$1</c:f>
              <c:strCache>
                <c:ptCount val="1"/>
                <c:pt idx="0">
                  <c:v>2022</c:v>
                </c:pt>
              </c:strCache>
            </c:strRef>
          </c:tx>
          <c:spPr>
            <a:solidFill>
              <a:schemeClr val="bg1">
                <a:lumMod val="50000"/>
              </a:schemeClr>
            </a:solidFill>
            <a:ln>
              <a:noFill/>
            </a:ln>
            <a:effectLst/>
          </c:spPr>
          <c:invertIfNegative val="0"/>
          <c:dLbls>
            <c:delete val="1"/>
          </c:dLbls>
          <c:cat>
            <c:strRef>
              <c:f>'地区-消费'!$AD$2:$AD$10</c:f>
              <c:strCache>
                <c:ptCount val="5"/>
                <c:pt idx="0">
                  <c:v>North America</c:v>
                </c:pt>
                <c:pt idx="1">
                  <c:v>Europe</c:v>
                </c:pt>
                <c:pt idx="2">
                  <c:v>Asia-Pacific </c:v>
                </c:pt>
                <c:pt idx="3">
                  <c:v>Latin America</c:v>
                </c:pt>
                <c:pt idx="4">
                  <c:v>Middle East and Africa</c:v>
                </c:pt>
              </c:strCache>
            </c:strRef>
          </c:cat>
          <c:val>
            <c:numRef>
              <c:f>'地区-消费'!$AF$2:$AF$10</c:f>
              <c:numCache>
                <c:formatCode>#,##0_);[Red]\(#,##0\)</c:formatCode>
                <c:ptCount val="5"/>
                <c:pt idx="0">
                  <c:v>7639.71</c:v>
                </c:pt>
                <c:pt idx="1">
                  <c:v>1753.49</c:v>
                </c:pt>
                <c:pt idx="2">
                  <c:v>436.24</c:v>
                </c:pt>
                <c:pt idx="3">
                  <c:v>14.24</c:v>
                </c:pt>
                <c:pt idx="4">
                  <c:v>25.96</c:v>
                </c:pt>
              </c:numCache>
            </c:numRef>
          </c:val>
        </c:ser>
        <c:ser>
          <c:idx val="2"/>
          <c:order val="2"/>
          <c:tx>
            <c:strRef>
              <c:f>'地区-消费'!$AG$1</c:f>
              <c:strCache>
                <c:ptCount val="1"/>
                <c:pt idx="0">
                  <c:v>2029</c:v>
                </c:pt>
              </c:strCache>
            </c:strRef>
          </c:tx>
          <c:spPr>
            <a:solidFill>
              <a:srgbClr val="002060"/>
            </a:solidFill>
            <a:ln>
              <a:noFill/>
            </a:ln>
            <a:effectLst/>
          </c:spPr>
          <c:invertIfNegative val="0"/>
          <c:dLbls>
            <c:delete val="1"/>
          </c:dLbls>
          <c:cat>
            <c:strRef>
              <c:f>'地区-消费'!$AD$2:$AD$10</c:f>
              <c:strCache>
                <c:ptCount val="5"/>
                <c:pt idx="0">
                  <c:v>North America</c:v>
                </c:pt>
                <c:pt idx="1">
                  <c:v>Europe</c:v>
                </c:pt>
                <c:pt idx="2">
                  <c:v>Asia-Pacific </c:v>
                </c:pt>
                <c:pt idx="3">
                  <c:v>Latin America</c:v>
                </c:pt>
                <c:pt idx="4">
                  <c:v>Middle East and Africa</c:v>
                </c:pt>
              </c:strCache>
            </c:strRef>
          </c:cat>
          <c:val>
            <c:numRef>
              <c:f>'地区-消费'!$AG$2:$AG$10</c:f>
              <c:numCache>
                <c:formatCode>#,##0_);[Red]\(#,##0\)</c:formatCode>
                <c:ptCount val="5"/>
                <c:pt idx="0">
                  <c:v>8459.36</c:v>
                </c:pt>
                <c:pt idx="1">
                  <c:v>1537.67</c:v>
                </c:pt>
                <c:pt idx="2">
                  <c:v>384.96</c:v>
                </c:pt>
                <c:pt idx="3">
                  <c:v>9.19</c:v>
                </c:pt>
                <c:pt idx="4">
                  <c:v>8.76</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solidFill>
            <a:sysClr val="windowText" lastClr="000000"/>
          </a:solidFill>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0.54423</cdr:x>
      <cdr:y>0.19002</cdr:y>
    </cdr:from>
    <cdr:to>
      <cdr:x>0.75784</cdr:x>
      <cdr:y>0.30012</cdr:y>
    </cdr:to>
    <cdr:grpSp>
      <cdr:nvGrpSpPr>
        <cdr:cNvPr id="2" name="组合 1"/>
        <cdr:cNvGrpSpPr/>
      </cdr:nvGrpSpPr>
      <cdr:grpSpPr xmlns:a="http://schemas.openxmlformats.org/drawingml/2006/main">
        <a:xfrm rot="439955">
          <a:off x="3412662" y="547205"/>
          <a:ext cx="1339468" cy="317058"/>
          <a:chOff x="2859058" y="238760"/>
          <a:chExt cx="759437" cy="2314912"/>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59058" y="1061399"/>
            <a:ext cx="759437" cy="821673"/>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20989952">
            <a:off x="3051131" y="238760"/>
            <a:ext cx="400017" cy="2314912"/>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1.4%</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0.22907</cdr:x>
      <cdr:y>0.19188</cdr:y>
    </cdr:from>
    <cdr:to>
      <cdr:x>0.44464</cdr:x>
      <cdr:y>0.52644</cdr:y>
    </cdr:to>
    <cdr:grpSp>
      <cdr:nvGrpSpPr>
        <cdr:cNvPr id="5" name="组合 4"/>
        <cdr:cNvGrpSpPr/>
      </cdr:nvGrpSpPr>
      <cdr:grpSpPr xmlns:a="http://schemas.openxmlformats.org/drawingml/2006/main">
        <a:xfrm rot="1783323">
          <a:off x="1436412" y="552562"/>
          <a:ext cx="1351759" cy="963441"/>
          <a:chOff x="3065378" y="1615187"/>
          <a:chExt cx="1010935" cy="814928"/>
        </a:xfrm>
      </cdr:grpSpPr>
      <cdr:cxnSp>
        <cdr:nvCxnSpPr>
          <cdr:cNvPr id="6" name="直接箭头连接符 5"/>
          <cdr:cNvCxnSpPr/>
        </cdr:nvCxnSpPr>
        <cdr:spPr xmlns:a="http://schemas.openxmlformats.org/drawingml/2006/main">
          <a:xfrm xmlns:a="http://schemas.openxmlformats.org/drawingml/2006/main" rot="19816677" flipV="1">
            <a:off x="3065378" y="1822248"/>
            <a:ext cx="1010935" cy="464804"/>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584799">
            <a:off x="3135135" y="1935053"/>
            <a:ext cx="814928" cy="1751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9.6%</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7</Pages>
  <Words>268</Words>
  <Characters>1530</Characters>
  <Lines>12</Lines>
  <Paragraphs>3</Paragraphs>
  <TotalTime>0</TotalTime>
  <ScaleCrop>false</ScaleCrop>
  <LinksUpToDate>false</LinksUpToDate>
  <CharactersWithSpaces>1795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2024-01-17T01:38:00Z</dcterms:created>
  <dc:creator>yangj</dc:creator>
  <cp:lastModifiedBy>鼕鼕</cp:lastModifiedBy>
  <dcterms:modified xsi:type="dcterms:W3CDTF">2024-02-23T04:44:10Z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145CAA0E41014488BD5E2C5E0FE52DB2_13</vt:lpwstr>
  </property>
</Properties>
</file>