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6" w:name="税费申报与计算知到章节测试答案智慧树2023年最新厦门南洋职业学院"/>
    <w:p>
      <w:pPr>
        <w:pStyle w:val="Heading1"/>
      </w:pPr>
      <w:r>
        <w:t xml:space="preserve">税费申报与计算知到章节测试答案智慧树2023年最新厦门南洋职业学院</w:t>
      </w:r>
    </w:p>
    <w:bookmarkStart w:id="20" w:name="项目一测试"/>
    <w:p>
      <w:pPr>
        <w:pStyle w:val="Heading2"/>
      </w:pPr>
      <w:r>
        <w:t xml:space="preserve">项目一测试</w:t>
      </w:r>
    </w:p>
    <w:p>
      <w:pPr>
        <w:numPr>
          <w:ilvl w:val="0"/>
          <w:numId w:val="1001"/>
        </w:numPr>
      </w:pPr>
      <w:r>
        <w:t xml:space="preserve">我国税收的特征（ ）。</w:t>
      </w:r>
      <w:r>
        <w:br/>
      </w:r>
      <w:r>
        <w:t xml:space="preserve">参考答案:</w:t>
      </w:r>
      <w:r>
        <w:br/>
      </w:r>
      <w:r>
        <w:rPr>
          <w:bCs/>
          <w:b/>
        </w:rPr>
        <w:t xml:space="preserve">强制性 ;固定性 ;无偿性</w:t>
      </w:r>
      <w:r>
        <w:rPr>
          <w:bCs/>
          <w:b/>
        </w:rPr>
        <w:t xml:space="preserve"> </w:t>
      </w:r>
    </w:p>
    <w:p>
      <w:pPr>
        <w:numPr>
          <w:ilvl w:val="0"/>
          <w:numId w:val="1001"/>
        </w:numPr>
      </w:pPr>
      <w:r>
        <w:t xml:space="preserve">2我国税收的职能（ ）。</w:t>
      </w:r>
      <w:r>
        <w:br/>
      </w:r>
      <w:r>
        <w:t xml:space="preserve">参考答案:</w:t>
      </w:r>
      <w:r>
        <w:br/>
      </w:r>
      <w:r>
        <w:rPr>
          <w:bCs/>
          <w:b/>
        </w:rPr>
        <w:t xml:space="preserve">组织财政 ;调节经济 ;监督经济</w:t>
      </w:r>
      <w:r>
        <w:rPr>
          <w:bCs/>
          <w:b/>
        </w:rPr>
        <w:t xml:space="preserve"> </w:t>
      </w:r>
    </w:p>
    <w:p>
      <w:pPr>
        <w:numPr>
          <w:ilvl w:val="0"/>
          <w:numId w:val="1001"/>
        </w:numPr>
      </w:pPr>
      <w:r>
        <w:t xml:space="preserve">从法学角度，税法按照内容的不同可分为（ ）。</w:t>
      </w:r>
      <w:r>
        <w:br/>
      </w:r>
      <w:r>
        <w:t xml:space="preserve">参考答案:</w:t>
      </w:r>
      <w:r>
        <w:br/>
      </w:r>
      <w:r>
        <w:rPr>
          <w:bCs/>
          <w:b/>
        </w:rPr>
        <w:t xml:space="preserve">税收程序法 ;税收处罚法 ;税务行政法 ;税收实体法</w:t>
      </w:r>
      <w:r>
        <w:rPr>
          <w:bCs/>
          <w:b/>
        </w:rPr>
        <w:t xml:space="preserve"> </w:t>
      </w:r>
    </w:p>
    <w:p>
      <w:pPr>
        <w:numPr>
          <w:ilvl w:val="0"/>
          <w:numId w:val="1001"/>
        </w:numPr>
      </w:pPr>
      <w:r>
        <w:t xml:space="preserve">增值税即征即退的项目有（ ）。</w:t>
      </w:r>
      <w:r>
        <w:br/>
      </w:r>
      <w:r>
        <w:t xml:space="preserve">参考答案:</w:t>
      </w:r>
      <w:r>
        <w:br/>
      </w:r>
      <w:r>
        <w:rPr>
          <w:bCs/>
          <w:b/>
        </w:rPr>
        <w:t xml:space="preserve">经人民银行、银监会或者商务部批准从事融资租赁业务的试点纳税人中的一般纳税人，提供有形动产融资租赁服务和有形动产融资性售后回租服务，对其增值税实际税负超3%的部分实行增值税即征即退政策。 ;销售自产的利用风力生产的电力产品：增值税即征即退50%的政策;提供管道运输服务：增值税实际税负超3%的部分即征即退。 ;飞机维修劳务：增值税实际税负超6%的部分即征即退。</w:t>
      </w:r>
      <w:r>
        <w:rPr>
          <w:bCs/>
          <w:b/>
        </w:rPr>
        <w:t xml:space="preserve"> </w:t>
      </w:r>
    </w:p>
    <w:p>
      <w:pPr>
        <w:numPr>
          <w:ilvl w:val="0"/>
          <w:numId w:val="1001"/>
        </w:numPr>
      </w:pPr>
      <w:r>
        <w:t xml:space="preserve">税收程序法的主要内容（ ）。</w:t>
      </w:r>
      <w:r>
        <w:br/>
      </w:r>
      <w:r>
        <w:t xml:space="preserve">参考答案:</w:t>
      </w:r>
      <w:r>
        <w:br/>
      </w:r>
      <w:r>
        <w:rPr>
          <w:bCs/>
          <w:b/>
        </w:rPr>
        <w:t xml:space="preserve">税务争议的解决程序 ;税收检查程序 ;税收确定程序 ;税收征收程序</w:t>
      </w:r>
    </w:p>
    <w:bookmarkEnd w:id="20"/>
    <w:bookmarkStart w:id="21" w:name="项目二测试"/>
    <w:p>
      <w:pPr>
        <w:pStyle w:val="Heading2"/>
      </w:pPr>
      <w:r>
        <w:t xml:space="preserve">项目二测试</w:t>
      </w:r>
    </w:p>
    <w:p>
      <w:pPr>
        <w:numPr>
          <w:ilvl w:val="0"/>
          <w:numId w:val="1002"/>
        </w:numPr>
      </w:pPr>
      <w:r>
        <w:t xml:space="preserve">增值税一般纳税人发生的下列业务中不可以选择简易方法计算缴纳增值税的是（ ）。</w:t>
      </w:r>
      <w:r>
        <w:br/>
      </w:r>
      <w:r>
        <w:t xml:space="preserve">参考答案:</w:t>
      </w:r>
      <w:r>
        <w:br/>
      </w:r>
      <w:r>
        <w:rPr>
          <w:bCs/>
          <w:b/>
        </w:rPr>
        <w:t xml:space="preserve">增值电信服务</w:t>
      </w:r>
      <w:r>
        <w:rPr>
          <w:bCs/>
          <w:b/>
        </w:rPr>
        <w:t xml:space="preserve"> </w:t>
      </w:r>
    </w:p>
    <w:p>
      <w:pPr>
        <w:numPr>
          <w:ilvl w:val="0"/>
          <w:numId w:val="1002"/>
        </w:numPr>
      </w:pPr>
      <w:r>
        <w:t xml:space="preserve">国内某软件开发企业为增值税一般纳税人，2020年8月销售生产的软件产品取得不含税销售额168000元，已开具增值税专用发票，该批软件系进口软件进行升级转换；本月购进材料取得增值税专用发票注明的增值税为1346元；支付运输费用100元，取得增值税专用发票；进口软件的增值税为8425元。该企业上述业务实际应负担的增值税为（ ）元。</w:t>
      </w:r>
      <w:r>
        <w:br/>
      </w:r>
      <w:r>
        <w:t xml:space="preserve">参考答案:</w:t>
      </w:r>
      <w:r>
        <w:br/>
      </w:r>
      <w:r>
        <w:rPr>
          <w:bCs/>
          <w:b/>
        </w:rPr>
        <w:t xml:space="preserve">5040</w:t>
      </w:r>
      <w:r>
        <w:rPr>
          <w:bCs/>
          <w:b/>
        </w:rPr>
        <w:t xml:space="preserve"> </w:t>
      </w:r>
    </w:p>
    <w:p>
      <w:pPr>
        <w:numPr>
          <w:ilvl w:val="0"/>
          <w:numId w:val="1002"/>
        </w:numPr>
      </w:pPr>
      <w:r>
        <w:t xml:space="preserve">河北省承德市某食品厂为增值税小规模纳税人，2020年4月购进一批模具，取得的增值税普通发票注明含税金额4000元；以赊销方式销售一批饼干，货已发出，开具了增值税普通发票，含税金额200000元，截至当月底收到150000元的含税货款。该食品厂以1个月为1个纳税期。当月该食品厂应纳增值税（ ）元。</w:t>
      </w:r>
      <w:r>
        <w:br/>
      </w:r>
      <w:r>
        <w:t xml:space="preserve">参考答案:</w:t>
      </w:r>
      <w:r>
        <w:br/>
      </w:r>
      <w:r>
        <w:rPr>
          <w:bCs/>
          <w:b/>
        </w:rPr>
        <w:t xml:space="preserve">1980.20</w:t>
      </w:r>
      <w:r>
        <w:rPr>
          <w:bCs/>
          <w:b/>
        </w:rPr>
        <w:t xml:space="preserve"> </w:t>
      </w:r>
    </w:p>
    <w:p>
      <w:pPr>
        <w:numPr>
          <w:ilvl w:val="0"/>
          <w:numId w:val="1002"/>
        </w:numPr>
      </w:pPr>
      <w:r>
        <w:t xml:space="preserve">一般纳税人发生下列应税行为可以选择适用简易计税方法计税的有（ ）。</w:t>
      </w:r>
      <w:r>
        <w:br/>
      </w:r>
      <w:r>
        <w:t xml:space="preserve">参考答案:</w:t>
      </w:r>
      <w:r>
        <w:br/>
      </w:r>
      <w:r>
        <w:rPr>
          <w:bCs/>
          <w:b/>
        </w:rPr>
        <w:t xml:space="preserve">2019年1月1日至2023年12月31日，一般纳税人提供的城市电影放映服务 ;2018年7月1日至2020年12月31日，对中国邮政储蓄银行纳入“三农金融事业部”改革的各省、自治区、直辖市、计划单列市分行下辖的县域支行，提供农户贷款、农村企业和农村各类组织贷款取得的利息收入 ;自2019年1月1日起至2020年12月31日止，纳税人生产销售新支线飞机暂减按5%征收增值税</w:t>
      </w:r>
      <w:r>
        <w:rPr>
          <w:bCs/>
          <w:b/>
        </w:rPr>
        <w:t xml:space="preserve"> </w:t>
      </w:r>
    </w:p>
    <w:p>
      <w:pPr>
        <w:numPr>
          <w:ilvl w:val="0"/>
          <w:numId w:val="1002"/>
        </w:numPr>
      </w:pPr>
      <w:r>
        <w:t xml:space="preserve">以下产品适用9%低税率的有（ ）。</w:t>
      </w:r>
      <w:r>
        <w:br/>
      </w:r>
      <w:r>
        <w:t xml:space="preserve">参考答案:</w:t>
      </w:r>
      <w:r>
        <w:br/>
      </w:r>
      <w:r>
        <w:rPr>
          <w:bCs/>
          <w:b/>
        </w:rPr>
        <w:t xml:space="preserve">玉米胚芽 ;烟叶</w:t>
      </w:r>
      <w:r>
        <w:rPr>
          <w:bCs/>
          <w:b/>
        </w:rPr>
        <w:t xml:space="preserve"> </w:t>
      </w:r>
    </w:p>
    <w:bookmarkEnd w:id="21"/>
    <w:bookmarkStart w:id="22" w:name="项目三测试"/>
    <w:p>
      <w:pPr>
        <w:pStyle w:val="Heading2"/>
      </w:pPr>
      <w:r>
        <w:t xml:space="preserve">项目三测试</w:t>
      </w:r>
    </w:p>
    <w:p>
      <w:pPr>
        <w:numPr>
          <w:ilvl w:val="0"/>
          <w:numId w:val="1003"/>
        </w:numPr>
      </w:pPr>
      <w:r>
        <w:t xml:space="preserve">下列各项中不属于消费税纳税人的是（ ）。</w:t>
      </w:r>
      <w:r>
        <w:br/>
      </w:r>
      <w:r>
        <w:t xml:space="preserve">参考答案:</w:t>
      </w:r>
      <w:r>
        <w:br/>
      </w:r>
      <w:r>
        <w:rPr>
          <w:bCs/>
          <w:b/>
        </w:rPr>
        <w:t xml:space="preserve">进口金银首饰的单位</w:t>
      </w:r>
      <w:r>
        <w:rPr>
          <w:bCs/>
          <w:b/>
        </w:rPr>
        <w:t xml:space="preserve"> </w:t>
      </w:r>
    </w:p>
    <w:p>
      <w:pPr>
        <w:numPr>
          <w:ilvl w:val="0"/>
          <w:numId w:val="1003"/>
        </w:numPr>
      </w:pPr>
      <w:r>
        <w:t xml:space="preserve">现行消费税规定，下列关于白酒最低计税价格的核定说法正确的是（ ）。</w:t>
      </w:r>
      <w:r>
        <w:br/>
      </w:r>
      <w:r>
        <w:t xml:space="preserve">参考答案:</w:t>
      </w:r>
      <w:r>
        <w:br/>
      </w:r>
      <w:r>
        <w:rPr>
          <w:bCs/>
          <w:b/>
        </w:rPr>
        <w:t xml:space="preserve">白酒消费税最低计税价格由白酒生产企业自行申报，税务机关核定</w:t>
      </w:r>
      <w:r>
        <w:rPr>
          <w:bCs/>
          <w:b/>
        </w:rPr>
        <w:t xml:space="preserve"> </w:t>
      </w:r>
    </w:p>
    <w:p>
      <w:pPr>
        <w:numPr>
          <w:ilvl w:val="0"/>
          <w:numId w:val="1003"/>
        </w:numPr>
      </w:pPr>
      <w:r>
        <w:t xml:space="preserve">根据消费税的有关规定，下列应税消费品中，实行从价定率计税方法缴纳消费税的是（ ）。</w:t>
      </w:r>
      <w:r>
        <w:br/>
      </w:r>
      <w:r>
        <w:t xml:space="preserve">参考答案:</w:t>
      </w:r>
      <w:r>
        <w:br/>
      </w:r>
      <w:r>
        <w:rPr>
          <w:bCs/>
          <w:b/>
        </w:rPr>
        <w:t xml:space="preserve">其他酒</w:t>
      </w:r>
      <w:r>
        <w:rPr>
          <w:bCs/>
          <w:b/>
        </w:rPr>
        <w:t xml:space="preserve"> </w:t>
      </w:r>
    </w:p>
    <w:p>
      <w:pPr>
        <w:numPr>
          <w:ilvl w:val="0"/>
          <w:numId w:val="1003"/>
        </w:numPr>
      </w:pPr>
      <w:r>
        <w:t xml:space="preserve">下列关于石脑油、燃料油消费税政策的表述中，正确的有（ ）。</w:t>
      </w:r>
      <w:r>
        <w:br/>
      </w:r>
      <w:r>
        <w:t xml:space="preserve">参考答案:</w:t>
      </w:r>
      <w:r>
        <w:br/>
      </w:r>
      <w:r>
        <w:rPr>
          <w:bCs/>
          <w:b/>
        </w:rPr>
        <w:t xml:space="preserve">用石脑油、燃料油生产乙烯、芳烃类化工产品的产量占本企业用石脑油、燃料油生产产品总量的50%以上的企业，可享受退（免）消费税政策 ;以外购的石脑油为原料生产的应税成品油，准予扣除外购石脑油已纳的消费税 ;生产企业自产石脑油、燃料油用于生产乙烯、芳烃类化工产品的，按实际耗用数量暂免征消费税 ;对使用石脑油、燃料油生产乙烯、芳烃的企业购进并用于生产乙烯、芳烃类化工产品的石脑油、燃料油，按实际耗用数量退还所含消费税</w:t>
      </w:r>
      <w:r>
        <w:rPr>
          <w:bCs/>
          <w:b/>
        </w:rPr>
        <w:t xml:space="preserve"> </w:t>
      </w:r>
    </w:p>
    <w:p>
      <w:pPr>
        <w:numPr>
          <w:ilvl w:val="0"/>
          <w:numId w:val="1003"/>
        </w:numPr>
      </w:pPr>
      <w:r>
        <w:t xml:space="preserve">下列关于消费税从量定额的计税依据，表述正确的有（ ）。</w:t>
      </w:r>
      <w:r>
        <w:br/>
      </w:r>
      <w:r>
        <w:t xml:space="preserve">参考答案:</w:t>
      </w:r>
      <w:r>
        <w:br/>
      </w:r>
      <w:r>
        <w:rPr>
          <w:bCs/>
          <w:b/>
        </w:rPr>
        <w:t xml:space="preserve">销售应税消费品的，为应税消费品的销售数量 ;委托加工应税消费品的，为纳税人收回的应税消费品数量 ;自产自用应税消费品的，为应税消费品的移送使用数量 ;从量定额通常以每单位应税消费品的重量、容积或数量为计税依据，并按每单位应税消费品规定固定税额</w:t>
      </w:r>
      <w:r>
        <w:rPr>
          <w:bCs/>
          <w:b/>
        </w:rPr>
        <w:t xml:space="preserve"> </w:t>
      </w:r>
    </w:p>
    <w:bookmarkEnd w:id="22"/>
    <w:bookmarkStart w:id="23" w:name="项目四测试"/>
    <w:p>
      <w:pPr>
        <w:pStyle w:val="Heading2"/>
      </w:pPr>
      <w:r>
        <w:t xml:space="preserve">项目四测试</w:t>
      </w:r>
    </w:p>
    <w:p>
      <w:pPr>
        <w:numPr>
          <w:ilvl w:val="0"/>
          <w:numId w:val="1004"/>
        </w:numPr>
      </w:pPr>
      <w:r>
        <w:t xml:space="preserve">下列关于城市维护建设税概念、特点的表述，错误的是（ ）。</w:t>
      </w:r>
      <w:r>
        <w:br/>
      </w:r>
      <w:r>
        <w:t xml:space="preserve">参考答案:</w:t>
      </w:r>
      <w:r>
        <w:br/>
      </w:r>
      <w:r>
        <w:rPr>
          <w:bCs/>
          <w:b/>
        </w:rPr>
        <w:t xml:space="preserve">限制对企业的乱摊派，是城市维护建设税的特点之一</w:t>
      </w:r>
      <w:r>
        <w:rPr>
          <w:bCs/>
          <w:b/>
        </w:rPr>
        <w:t xml:space="preserve"> </w:t>
      </w:r>
    </w:p>
    <w:p>
      <w:pPr>
        <w:numPr>
          <w:ilvl w:val="0"/>
          <w:numId w:val="1004"/>
        </w:numPr>
      </w:pPr>
      <w:r>
        <w:t xml:space="preserve">下列各项中，不符合城建税减免税规定的是（ ）。</w:t>
      </w:r>
      <w:r>
        <w:br/>
      </w:r>
      <w:r>
        <w:t xml:space="preserve">参考答案:</w:t>
      </w:r>
      <w:r>
        <w:br/>
      </w:r>
      <w:r>
        <w:rPr>
          <w:bCs/>
          <w:b/>
        </w:rPr>
        <w:t xml:space="preserve">企业减免增值税1年后才能减免城建税</w:t>
      </w:r>
      <w:r>
        <w:rPr>
          <w:bCs/>
          <w:b/>
        </w:rPr>
        <w:t xml:space="preserve"> </w:t>
      </w:r>
    </w:p>
    <w:p>
      <w:pPr>
        <w:numPr>
          <w:ilvl w:val="0"/>
          <w:numId w:val="1004"/>
        </w:numPr>
      </w:pPr>
      <w:r>
        <w:t xml:space="preserve">下列属于城建税计税依据的是（ ）。</w:t>
      </w:r>
      <w:r>
        <w:br/>
      </w:r>
      <w:r>
        <w:t xml:space="preserve">参考答案:</w:t>
      </w:r>
      <w:r>
        <w:br/>
      </w:r>
      <w:r>
        <w:rPr>
          <w:bCs/>
          <w:b/>
        </w:rPr>
        <w:t xml:space="preserve">向税务机关实际缴纳的增值税</w:t>
      </w:r>
      <w:r>
        <w:rPr>
          <w:bCs/>
          <w:b/>
        </w:rPr>
        <w:t xml:space="preserve"> </w:t>
      </w:r>
    </w:p>
    <w:p>
      <w:pPr>
        <w:numPr>
          <w:ilvl w:val="0"/>
          <w:numId w:val="1004"/>
        </w:numPr>
      </w:pPr>
      <w:r>
        <w:t xml:space="preserve">下列关于城市维护建设税的相关规定，表述正确的有（ ）。</w:t>
      </w:r>
      <w:r>
        <w:br/>
      </w:r>
      <w:r>
        <w:t xml:space="preserve">参考答案:</w:t>
      </w:r>
      <w:r>
        <w:br/>
      </w:r>
      <w:r>
        <w:rPr>
          <w:bCs/>
          <w:b/>
        </w:rPr>
        <w:t xml:space="preserve">城市维护建设税税款专款专用 ;根据城建规模设计税率 ;城市维护建设税是一种附加税 ;城市维护建设税征收范围较广</w:t>
      </w:r>
      <w:r>
        <w:rPr>
          <w:bCs/>
          <w:b/>
        </w:rPr>
        <w:t xml:space="preserve"> </w:t>
      </w:r>
    </w:p>
    <w:p>
      <w:pPr>
        <w:numPr>
          <w:ilvl w:val="0"/>
          <w:numId w:val="1004"/>
        </w:numPr>
      </w:pPr>
      <w:r>
        <w:t xml:space="preserve">下列各项中，符合城市维护建设税及教育费附加征收管理规定的有（ ）。</w:t>
      </w:r>
      <w:r>
        <w:br/>
      </w:r>
      <w:r>
        <w:t xml:space="preserve">参考答案:</w:t>
      </w:r>
      <w:r>
        <w:br/>
      </w:r>
      <w:r>
        <w:rPr>
          <w:bCs/>
          <w:b/>
        </w:rPr>
        <w:t xml:space="preserve">城市维护建设税的计税依据不包括加收的滞纳金和罚款 ;为支持国家重大水利工程建设，对国家重大水利工程建设基金自2010年5月25日免征城市维护建设税 ;纳税人所在地为市区的，城市维护建设税税率为7%</w:t>
      </w:r>
      <w:r>
        <w:rPr>
          <w:bCs/>
          <w:b/>
        </w:rPr>
        <w:t xml:space="preserve"> </w:t>
      </w:r>
    </w:p>
    <w:bookmarkEnd w:id="23"/>
    <w:bookmarkStart w:id="24" w:name="项目五测试"/>
    <w:p>
      <w:pPr>
        <w:pStyle w:val="Heading2"/>
      </w:pPr>
      <w:r>
        <w:t xml:space="preserve">项目五测试</w:t>
      </w:r>
    </w:p>
    <w:p>
      <w:pPr>
        <w:numPr>
          <w:ilvl w:val="0"/>
          <w:numId w:val="1005"/>
        </w:numPr>
      </w:pPr>
      <w:r>
        <w:t xml:space="preserve">境外某公司在中国境内未设立机构、场所，2019年取得境内甲公司支付的股息500万元，取得境内乙公司支付的特许权使用费350万元。2019年度该境外公司在我国应缴纳企业所得税（ ）万元。</w:t>
      </w:r>
      <w:r>
        <w:br/>
      </w:r>
      <w:r>
        <w:t xml:space="preserve">参考答案:</w:t>
      </w:r>
      <w:r>
        <w:br/>
      </w:r>
      <w:r>
        <w:rPr>
          <w:bCs/>
          <w:b/>
        </w:rPr>
        <w:t xml:space="preserve">85</w:t>
      </w:r>
      <w:r>
        <w:rPr>
          <w:bCs/>
          <w:b/>
        </w:rPr>
        <w:t xml:space="preserve"> </w:t>
      </w:r>
    </w:p>
    <w:p>
      <w:pPr>
        <w:numPr>
          <w:ilvl w:val="0"/>
          <w:numId w:val="1005"/>
        </w:numPr>
      </w:pPr>
      <w:r>
        <w:t xml:space="preserve">依据企业所得税法的规定，下列关于三项经费扣除限额计算基数工资、薪金总额的说法中，正确的是（ ）。</w:t>
      </w:r>
      <w:r>
        <w:br/>
      </w:r>
      <w:r>
        <w:t xml:space="preserve">参考答案:</w:t>
      </w:r>
      <w:r>
        <w:br/>
      </w:r>
      <w:r>
        <w:rPr>
          <w:bCs/>
          <w:b/>
        </w:rPr>
        <w:t xml:space="preserve">工资、薪金总额是指按照规定实际发放的工资、薪金总和</w:t>
      </w:r>
      <w:r>
        <w:rPr>
          <w:bCs/>
          <w:b/>
        </w:rPr>
        <w:t xml:space="preserve"> </w:t>
      </w:r>
    </w:p>
    <w:p>
      <w:pPr>
        <w:numPr>
          <w:ilvl w:val="0"/>
          <w:numId w:val="1005"/>
        </w:numPr>
      </w:pPr>
      <w:r>
        <w:t xml:space="preserve">某非居民企业在境内设立机构、场所，因会计账簿不健全，不能正确核算收入总额，但成本费用总额120万元能够准确核算。税务机关决定按照核定的方法征收企业所得税，核定利润率为20%，该企业应缴纳的企业所得税额为（ ）万元。</w:t>
      </w:r>
      <w:r>
        <w:br/>
      </w:r>
      <w:r>
        <w:t xml:space="preserve">参考答案:</w:t>
      </w:r>
      <w:r>
        <w:br/>
      </w:r>
      <w:r>
        <w:rPr>
          <w:bCs/>
          <w:b/>
        </w:rPr>
        <w:t xml:space="preserve">7.5</w:t>
      </w:r>
      <w:r>
        <w:rPr>
          <w:bCs/>
          <w:b/>
        </w:rPr>
        <w:t xml:space="preserve"> </w:t>
      </w:r>
    </w:p>
    <w:p>
      <w:pPr>
        <w:numPr>
          <w:ilvl w:val="0"/>
          <w:numId w:val="1005"/>
        </w:numPr>
      </w:pPr>
      <w:r>
        <w:t xml:space="preserve">某工业企业，资产总额为2000万元，从业人数80人，2019年取得营业收入25万元，发生成本费用支出10万元，其中营业外支出中包含了税务机关的罚款1万元，未作纳税调整。该企业应缴纳的企业所得税为（ ）万元。</w:t>
      </w:r>
      <w:r>
        <w:br/>
      </w:r>
      <w:r>
        <w:t xml:space="preserve">参考答案:</w:t>
      </w:r>
      <w:r>
        <w:br/>
      </w:r>
      <w:r>
        <w:rPr>
          <w:bCs/>
          <w:b/>
        </w:rPr>
        <w:t xml:space="preserve">0.8</w:t>
      </w:r>
      <w:r>
        <w:rPr>
          <w:bCs/>
          <w:b/>
        </w:rPr>
        <w:t xml:space="preserve"> </w:t>
      </w:r>
    </w:p>
    <w:p>
      <w:pPr>
        <w:numPr>
          <w:ilvl w:val="0"/>
          <w:numId w:val="1005"/>
        </w:numPr>
      </w:pPr>
      <w:r>
        <w:t xml:space="preserve">公司制甲企业属于创业投资企业，2017年7月1日向乙企业（初创科技型企业）投资250万元，股权持有到2019年12月31日。2015年税务机构核定的未弥补亏损额为189万元，甲企业2019年度生产经营所得为450万元，则甲企业2019年应纳税所得额为（ ）万元。</w:t>
      </w:r>
      <w:r>
        <w:br/>
      </w:r>
      <w:r>
        <w:t xml:space="preserve">参考答案:</w:t>
      </w:r>
      <w:r>
        <w:br/>
      </w:r>
      <w:r>
        <w:rPr>
          <w:bCs/>
          <w:b/>
        </w:rPr>
        <w:t xml:space="preserve">86</w:t>
      </w:r>
      <w:r>
        <w:rPr>
          <w:bCs/>
          <w:b/>
        </w:rPr>
        <w:t xml:space="preserve"> </w:t>
      </w:r>
    </w:p>
    <w:bookmarkEnd w:id="24"/>
    <w:bookmarkStart w:id="25" w:name="项目六测试"/>
    <w:p>
      <w:pPr>
        <w:pStyle w:val="Heading2"/>
      </w:pPr>
      <w:r>
        <w:t xml:space="preserve">项目六测试</w:t>
      </w:r>
    </w:p>
    <w:p>
      <w:pPr>
        <w:numPr>
          <w:ilvl w:val="0"/>
          <w:numId w:val="1006"/>
        </w:numPr>
      </w:pPr>
      <w:r>
        <w:t xml:space="preserve">2018年12月，李某取得财产租赁收入80000元，从中拿出20000元通过国家机关捐赠给受灾地区。李某12月份应纳个人所得税（ ）元。</w:t>
      </w:r>
      <w:r>
        <w:br/>
      </w:r>
      <w:r>
        <w:t xml:space="preserve">参考答案:</w:t>
      </w:r>
      <w:r>
        <w:br/>
      </w:r>
      <w:r>
        <w:rPr>
          <w:bCs/>
          <w:b/>
        </w:rPr>
        <w:t xml:space="preserve">8960</w:t>
      </w:r>
      <w:r>
        <w:rPr>
          <w:bCs/>
          <w:b/>
        </w:rPr>
        <w:t xml:space="preserve"> </w:t>
      </w:r>
    </w:p>
    <w:p>
      <w:pPr>
        <w:numPr>
          <w:ilvl w:val="0"/>
          <w:numId w:val="1006"/>
        </w:numPr>
      </w:pPr>
      <w:r>
        <w:t xml:space="preserve">下列各项所得，免征个人所得税的是（ ）。</w:t>
      </w:r>
      <w:r>
        <w:br/>
      </w:r>
      <w:r>
        <w:t xml:space="preserve">参考答案:</w:t>
      </w:r>
      <w:r>
        <w:br/>
      </w:r>
      <w:r>
        <w:rPr>
          <w:bCs/>
          <w:b/>
        </w:rPr>
        <w:t xml:space="preserve">个人根据遗嘱继承房产的所得</w:t>
      </w:r>
    </w:p>
    <w:p>
      <w:pPr>
        <w:numPr>
          <w:ilvl w:val="0"/>
          <w:numId w:val="1006"/>
        </w:numPr>
      </w:pPr>
      <w:r>
        <w:t xml:space="preserve">某个体商户2015年为其从业人员实际发放工资105万元，业主领取劳动报酬20万元，2015年该个体工商户允许税前扣除的从业人员补充养老保险限额为（ ）万元。</w:t>
      </w:r>
      <w:r>
        <w:br/>
      </w:r>
      <w:r>
        <w:t xml:space="preserve">参考答案:</w:t>
      </w:r>
      <w:r>
        <w:br/>
      </w:r>
      <w:r>
        <w:rPr>
          <w:bCs/>
          <w:b/>
        </w:rPr>
        <w:t xml:space="preserve">5.25</w:t>
      </w:r>
    </w:p>
    <w:p>
      <w:pPr>
        <w:numPr>
          <w:ilvl w:val="0"/>
          <w:numId w:val="1006"/>
        </w:numPr>
      </w:pPr>
      <w:r>
        <w:t xml:space="preserve">王某为一事业单位职员，2019年1月取得应税工资6000元、餐补400元、出差补助600元。1月王某应被预扣预缴个人所得税（ ）元。</w:t>
      </w:r>
      <w:r>
        <w:br/>
      </w:r>
      <w:r>
        <w:t xml:space="preserve">参考答案:</w:t>
      </w:r>
      <w:r>
        <w:br/>
      </w:r>
      <w:r>
        <w:rPr>
          <w:bCs/>
          <w:b/>
        </w:rPr>
        <w:t xml:space="preserve">60</w:t>
      </w:r>
    </w:p>
    <w:p>
      <w:pPr>
        <w:numPr>
          <w:ilvl w:val="0"/>
          <w:numId w:val="1006"/>
        </w:numPr>
      </w:pPr>
      <w:r>
        <w:t xml:space="preserve">李某持有某合伙企业50%的份额，2019年该企业经营利润30万元，企业留存利润20万元，李某分得利润5万元。2019年李某应缴纳个人所得税（ ）元。（李某当年无综合所得）</w:t>
      </w:r>
      <w:r>
        <w:br/>
      </w:r>
      <w:r>
        <w:t xml:space="preserve">参考答案:</w:t>
      </w:r>
      <w:r>
        <w:br/>
      </w:r>
      <w:r>
        <w:rPr>
          <w:bCs/>
          <w:b/>
        </w:rPr>
        <w:t xml:space="preserve">7500</w:t>
      </w:r>
    </w:p>
    <w:bookmarkEnd w:id="25"/>
    <w:bookmarkEnd w:id="26"/>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2023-04-18T18:31:16Z</dcterms:created>
  <dcterms:modified xsi:type="dcterms:W3CDTF">2023-04-18T18:31:16Z</dcterms:modified>
</cp:coreProperties>
</file>

<file path=docProps/custom.xml><?xml version="1.0" encoding="utf-8"?>
<Properties xmlns="http://schemas.openxmlformats.org/officeDocument/2006/custom-properties" xmlns:vt="http://schemas.openxmlformats.org/officeDocument/2006/docPropsVTypes"/>
</file>